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3864"/>
          <w:sz w:val="33"/>
          <w:szCs w:val="33"/>
        </w:rPr>
        <w:t xml:space="preserve">Besoins de création &amp; livrables — Brief graphiste</w:t>
      </w:r>
    </w:p>
    <w:p>
      <w:pPr>
        <w:spacing w:after="60"/>
      </w:pPr>
      <w:r>
        <w:rPr>
          <w:color w:val="444444"/>
          <w:sz w:val="24"/>
          <w:szCs w:val="24"/>
        </w:rPr>
        <w:t xml:space="preserve">Projet Site e-commerce — Maison Crosnier</w:t>
      </w:r>
    </w:p>
    <w:p>
      <w:pPr>
        <w:pBdr>
          <w:bottom w:val="single" w:color="1F3864" w:sz="8" w:space="6"/>
        </w:pBdr>
        <w:spacing w:after="200"/>
      </w:pPr>
      <w:r>
        <w:rPr>
          <w:i/>
          <w:iCs/>
          <w:color w:val="444444"/>
          <w:sz w:val="20"/>
          <w:szCs w:val="20"/>
        </w:rPr>
        <w:t xml:space="preserve">Ce dont nous avons besoin de ta part pour développer le site : fichiers sources, écrans à concevoir, états et spécifications.</w:t>
      </w:r>
    </w:p>
    <w:p>
      <w:pPr>
        <w:spacing w:after="120" w:line="276"/>
      </w:pPr>
      <w:r>
        <w:rPr>
          <w:i/>
          <w:iCs/>
        </w:rPr>
        <w:t xml:space="preserve">La couche présentation du site s’appuie entièrement sur ta création. Pour la développer fidèlement (et efficacement), voici les livrables attendus. Les cases à cocher permettent de suivre ce qui est fourni.</w:t>
      </w:r>
    </w:p>
    <w:p>
      <w:pPr>
        <w:pStyle w:val="Heading1"/>
      </w:pPr>
      <w:r>
        <w:t xml:space="preserve">1. Fichiers sources à fournir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Logo en vectoriel (SVG) : marmotte + wordmark, avec variations (monochrome, inversé).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Favicon LISIBLE aux petites tailles (16–32 px) : version simplifiée du logo si le tracé détaillé de la marmotte reste illisible à cette taille — fournie en .ico + PNG + SVG, avec apple-touch-icon.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Palette de couleurs : codes hex exacts (fond, or, texte, états).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Polices : fichiers webfont + licences (titres/nav, wordmark, corps).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Icônes en SVG : header (recherche, compte, panier…) et services, jeu complet.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Motif feston (bord ondulé) en vectoriel.</w:t>
      </w:r>
    </w:p>
    <w:p>
      <w:pPr>
        <w:spacing w:after="60" w:line="276"/>
        <w:ind w:left="260"/>
      </w:pPr>
      <w:r>
        <w:rPr>
          <w:sz w:val="24"/>
          <w:szCs w:val="24"/>
        </w:rPr>
        <w:t xml:space="preserve">☐  </w:t>
      </w:r>
      <w:r>
        <w:t xml:space="preserve">Motif empreintes de marmotte en vectoriel (et, si animation prévue, éléments décomposés).</w:t>
      </w:r>
    </w:p>
    <w:p>
      <w:pPr>
        <w:pStyle w:val="Heading1"/>
      </w:pPr>
      <w:r>
        <w:t xml:space="preserve">2. Écrans à concevoir (au-delà de l’accueil)</w:t>
      </w:r>
    </w:p>
    <w:p>
      <w:pPr>
        <w:spacing w:after="120" w:line="276"/>
      </w:pPr>
      <w:r>
        <w:t xml:space="preserve">Les maquettes fournies couvrent la page d’accueil. Pour un site complet, nous aurons besoin des écrans suivants :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Page catégorie / liste de produits.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Fiche produit (avec déclinaisons / options).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Sélecteur de date &amp; créneau de retrait — écran clé, absent des maquettes actuelles.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Panier.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Tunnel de commande : identification (invité / compte), paiement, confirmation.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Espace client : compte, historique, favoris, avoirs.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Pages éditoriales / CMS : univers « La Marmotte », à propos, contact, CGV.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États particuliers : panier vide, résultats vides, chargement, erreur, page 404.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Notifications / toasts (ex. « ajouté au panier »).</w:t>
      </w:r>
    </w:p>
    <w:p>
      <w:pPr>
        <w:pStyle w:val="Heading1"/>
      </w:pPr>
      <w:r>
        <w:t xml:space="preserve">3. Déclinaisons responsive</w:t>
      </w:r>
    </w:p>
    <w:p>
      <w:pPr>
        <w:spacing w:after="120" w:line="276"/>
      </w:pPr>
      <w:r>
        <w:t xml:space="preserve">Pour chaque écran clé, une déclinaison mobile et tablette (approche mobile-first).</w:t>
      </w:r>
    </w:p>
    <w:p>
      <w:pPr>
        <w:pStyle w:val="Heading1"/>
      </w:pPr>
      <w:r>
        <w:t xml:space="preserve">4. États des composants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Boutons : normal, survol, actif, désactivé.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Champs de formulaire : normal, focus, erreur, rempli.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Carte produit : normal, survol (zoom + étiquette + « + »), équivalent tactile, indisponible pour le créneau, épuisé.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Sélecteur de créneau : créneaux disponibles / indisponibles / sélectionné.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Indicateurs de chargement (loaders).</w:t>
      </w:r>
    </w:p>
    <w:p>
      <w:pPr>
        <w:pStyle w:val="Heading1"/>
      </w:pPr>
      <w:r>
        <w:t xml:space="preserve">5. Spécifications à documenter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Système de grille et points de rupture (breakpoints).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Échelle typographique (tailles, graisses, interlignes, interlettrage).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Échelle d’espacement, rayons de coin, ombres — idéalement sous forme de design tokens.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Contrastes vérifiés (accessibilité) et états de focus.</w:t>
      </w:r>
    </w:p>
    <w:p>
      <w:pPr>
        <w:pStyle w:val="Heading1"/>
      </w:pPr>
      <w:r>
        <w:t xml:space="preserve">6. Format de livraison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Maquettes exploitables pour le développement (ex. Figma avec inspection / redlines / export des mesures).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Export des assets (SVG, images optimisées).</w:t>
      </w:r>
    </w:p>
    <w:p>
      <w:pPr>
        <w:pStyle w:val="Heading1"/>
      </w:pPr>
      <w:r>
        <w:t xml:space="preserve">7. Contraintes projet à intégrer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Mobile-first.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Performance : maîtriser le poids des visuels et des animations (impact sur mobile).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t xml:space="preserve">Accessibilité : animations désactivables (prefers-reduced-motion), contrastes suffisants, navigation clavier.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1F386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10" w:before="260"/>
    </w:pPr>
    <w:rPr>
      <w:rFonts w:ascii="Calibri" w:cs="Calibri" w:eastAsia="Calibri" w:hAnsi="Calibri"/>
      <w:b/>
      <w:bCs/>
      <w:color w:val="1F3864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2026-07-22T07:45:09.175Z</dcterms:created>
  <dcterms:modified xsi:type="dcterms:W3CDTF">2026-07-22T07:45:09.175Z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