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34"/>
          <w:szCs w:val="34"/>
        </w:rPr>
        <w:t xml:space="preserve">Plan d’entretien — Éditeur du logiciel de caisse</w:t>
      </w:r>
    </w:p>
    <w:p>
      <w:pPr>
        <w:spacing w:after="60"/>
      </w:pPr>
      <w:r>
        <w:rPr>
          <w:color w:val="444444"/>
          <w:sz w:val="24"/>
          <w:szCs w:val="24"/>
        </w:rPr>
        <w:t xml:space="preserve">Projet Site e-commerce — Maison Crosnier</w:t>
      </w:r>
    </w:p>
    <w:p>
      <w:pPr>
        <w:pBdr>
          <w:bottom w:val="single" w:color="1F3864" w:sz="8" w:space="6"/>
        </w:pBdr>
        <w:spacing w:after="200"/>
      </w:pPr>
      <w:r>
        <w:rPr>
          <w:color w:val="444444"/>
          <w:sz w:val="20"/>
          <w:szCs w:val="20"/>
        </w:rPr>
        <w:t xml:space="preserve">Éditeur / logiciel : ____________________     Date : __________     Participants : ____________________</w:t>
      </w:r>
    </w:p>
    <w:p>
      <w:pPr>
        <w:pStyle w:val="Heading1"/>
      </w:pPr>
      <w:r>
        <w:t xml:space="preserve">1. Objet de l’entretien</w:t>
      </w:r>
    </w:p>
    <w:p>
      <w:pPr>
        <w:spacing w:after="120" w:line="276"/>
      </w:pPr>
      <w:r>
        <w:t xml:space="preserve">Nous préparons un site e-commerce de commande en ligne avec retrait en boutique (et drive) pour la Maison Crosnier. Dans notre architecture, la caisse reste le système maître : le site est un injecteur de commandes et le moyen de paiement en ligne. L’objectif de cet entretien est de déterminer précisément ce que l’API de la caisse expose, afin de cadrer l’intégration et le développement.</w:t>
      </w:r>
    </w:p>
    <w:p>
      <w:pPr>
        <w:pStyle w:val="Heading1"/>
      </w:pPr>
      <w:r>
        <w:t xml:space="preserve">2. À présenter à l’éditeur</w:t>
      </w:r>
    </w:p>
    <w:p>
      <w:pPr>
        <w:pStyle w:val="ListParagraph"/>
        <w:numPr>
          <w:ilvl w:val="0"/>
          <w:numId w:val="2"/>
        </w:numPr>
        <w:spacing w:after="50" w:line="276"/>
      </w:pPr>
      <w:r>
        <w:t xml:space="preserve">Projet : site de commande en ligne + retrait boutique / drive pour une boulangerie-pâtisserie.</w:t>
      </w:r>
    </w:p>
    <w:p>
      <w:pPr>
        <w:pStyle w:val="ListParagraph"/>
        <w:numPr>
          <w:ilvl w:val="0"/>
          <w:numId w:val="2"/>
        </w:numPr>
        <w:spacing w:after="50" w:line="276"/>
      </w:pPr>
      <w:r>
        <w:t xml:space="preserve">Rôles : la caisse reste maître (catalogue, prix, stock, production, commandes de référence, avoirs, client) ; le site est injecteur de commandes et moyen de paiement. Le site ne crée ni ne modifie les produits.</w:t>
      </w:r>
    </w:p>
    <w:p>
      <w:pPr>
        <w:pStyle w:val="ListParagraph"/>
        <w:numPr>
          <w:ilvl w:val="0"/>
          <w:numId w:val="2"/>
        </w:numPr>
        <w:spacing w:after="50" w:line="276"/>
      </w:pPr>
      <w:r>
        <w:t xml:space="preserve">Apport du site : vitrine et catalogue enrichi (photos, textes, SEO), tunnel de commande, choix date/créneau de retrait, paiement en ligne, puis injection de la commande payée dans la caisse pour production.</w:t>
      </w:r>
    </w:p>
    <w:p>
      <w:pPr>
        <w:pStyle w:val="ListParagraph"/>
        <w:numPr>
          <w:ilvl w:val="0"/>
          <w:numId w:val="2"/>
        </w:numPr>
        <w:spacing w:after="50" w:line="276"/>
      </w:pPr>
      <w:r>
        <w:t xml:space="preserve">Paiement : assuré par PayPlug (groupe BPCE / Banque Populaire), hors caisse. La caisse reçoit une commande déjà réglée, avec sa référence de paiement.</w:t>
      </w:r>
    </w:p>
    <w:p>
      <w:pPr>
        <w:pStyle w:val="ListParagraph"/>
        <w:numPr>
          <w:ilvl w:val="0"/>
          <w:numId w:val="2"/>
        </w:numPr>
        <w:spacing w:after="50" w:line="276"/>
      </w:pPr>
      <w:r>
        <w:t xml:space="preserve">Modèle de commande : produits regroupés en familles (pain, viennoiserie, pâtisserie, snacking), avec une politique de commande (délais / heures limites) par famille. La disponibilité est calculée par le site à partir de ces délais ; pas de gestion de stock automatique côté site.</w:t>
      </w:r>
    </w:p>
    <w:p>
      <w:pPr>
        <w:pStyle w:val="ListParagraph"/>
        <w:numPr>
          <w:ilvl w:val="0"/>
          <w:numId w:val="2"/>
        </w:numPr>
        <w:spacing w:after="50" w:line="276"/>
      </w:pPr>
      <w:r>
        <w:t xml:space="preserve">Retrait : un point de retrait au lancement, le modèle prévoyant plusieurs points à terme.</w:t>
      </w:r>
    </w:p>
    <w:p>
      <w:pPr>
        <w:pStyle w:val="ListParagraph"/>
        <w:numPr>
          <w:ilvl w:val="0"/>
          <w:numId w:val="2"/>
        </w:numPr>
        <w:spacing w:after="50" w:line="276"/>
      </w:pPr>
      <w:r>
        <w:t xml:space="preserve">Déploiement : la vente en ligne ne sera pas mise en production tant que le raccordement à la caisse n’est pas effectif ; le développement se fait contre un simulateur reproduisant l’API.</w:t>
      </w:r>
    </w:p>
    <w:p>
      <w:pPr>
        <w:pStyle w:val="Heading1"/>
      </w:pPr>
      <w:r>
        <w:t xml:space="preserve">3. Questions qu’il pourrait poser — réponses préparées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200"/>
        <w:gridCol w:w="4800"/>
      </w:tblGrid>
      <w:tr>
        <w:trPr>
          <w:tblHeader/>
        </w:trPr>
        <w:tc>
          <w:tcPr>
            <w:tcW w:type="dxa" w:w="4200"/>
            <w:shd w:fill="1F3864" w:color="auto" w:val="clear"/>
            <w:tcMar>
              <w:top w:type="dxa" w:w="60"/>
              <w:left w:type="dxa" w:w="110"/>
              <w:bottom w:type="dxa" w:w="60"/>
              <w:right w:type="dxa" w:w="110"/>
            </w:tcMar>
          </w:tcPr>
          <w:p>
            <w:r>
              <w:rPr>
                <w:b/>
                <w:bCs/>
                <w:color w:val="FFFFFF"/>
                <w:sz w:val="20"/>
                <w:szCs w:val="20"/>
              </w:rPr>
              <w:t xml:space="preserve">Sa question probable</w:t>
            </w:r>
          </w:p>
        </w:tc>
        <w:tc>
          <w:tcPr>
            <w:tcW w:type="dxa" w:w="4800"/>
            <w:shd w:fill="1F3864" w:color="auto" w:val="clear"/>
            <w:tcMar>
              <w:top w:type="dxa" w:w="60"/>
              <w:left w:type="dxa" w:w="110"/>
              <w:bottom w:type="dxa" w:w="60"/>
              <w:right w:type="dxa" w:w="110"/>
            </w:tcMar>
          </w:tcPr>
          <w:p>
            <w:r>
              <w:rPr>
                <w:b/>
                <w:bCs/>
                <w:color w:val="FFFFFF"/>
                <w:sz w:val="20"/>
                <w:szCs w:val="20"/>
              </w:rPr>
              <w:t xml:space="preserve">Notre réponse</w:t>
            </w:r>
          </w:p>
        </w:tc>
      </w:tr>
      <w:tr>
        <w:tc>
          <w:tcPr>
            <w:tcW w:type="dxa" w:w="4200"/>
            <w:tcMar>
              <w:top w:type="dxa" w:w="60"/>
              <w:left w:type="dxa" w:w="110"/>
              <w:bottom w:type="dxa" w:w="60"/>
              <w:right w:type="dxa" w:w="110"/>
            </w:tcMar>
          </w:tcPr>
          <w:p>
            <w:r>
              <w:rPr>
                <w:b/>
                <w:bCs/>
                <w:sz w:val="20"/>
                <w:szCs w:val="20"/>
              </w:rPr>
              <w:t xml:space="preserve">Quelle technologie pour le site ?</w:t>
            </w:r>
          </w:p>
        </w:tc>
        <w:tc>
          <w:tcPr>
            <w:tcW w:type="dxa" w:w="4800"/>
            <w:tcMar>
              <w:top w:type="dxa" w:w="60"/>
              <w:left w:type="dxa" w:w="110"/>
              <w:bottom w:type="dxa" w:w="60"/>
              <w:right w:type="dxa" w:w="110"/>
            </w:tcMar>
          </w:tcPr>
          <w:p>
            <w:r>
              <w:rPr>
                <w:b w:val="false"/>
                <w:bCs w:val="false"/>
                <w:sz w:val="20"/>
                <w:szCs w:val="20"/>
              </w:rPr>
              <w:t xml:space="preserve">Peu importe pour l’intégration : le site consommera une API (REST/JSON de préférence). Développement itératif.</w:t>
            </w:r>
          </w:p>
        </w:tc>
      </w:tr>
      <w:tr>
        <w:tc>
          <w:tcPr>
            <w:tcW w:type="dxa" w:w="4200"/>
            <w:shd w:fill="F2F4F8" w:color="auto" w:val="clear"/>
            <w:tcMar>
              <w:top w:type="dxa" w:w="60"/>
              <w:left w:type="dxa" w:w="110"/>
              <w:bottom w:type="dxa" w:w="60"/>
              <w:right w:type="dxa" w:w="110"/>
            </w:tcMar>
          </w:tcPr>
          <w:p>
            <w:r>
              <w:rPr>
                <w:b/>
                <w:bCs/>
                <w:sz w:val="20"/>
                <w:szCs w:val="20"/>
              </w:rPr>
              <w:t xml:space="preserve">Comment gérez-vous le paiement ?</w:t>
            </w:r>
          </w:p>
        </w:tc>
        <w:tc>
          <w:tcPr>
            <w:tcW w:type="dxa" w:w="4800"/>
            <w:shd w:fill="F2F4F8" w:color="auto" w:val="clear"/>
            <w:tcMar>
              <w:top w:type="dxa" w:w="60"/>
              <w:left w:type="dxa" w:w="110"/>
              <w:bottom w:type="dxa" w:w="60"/>
              <w:right w:type="dxa" w:w="110"/>
            </w:tcMar>
          </w:tcPr>
          <w:p>
            <w:r>
              <w:rPr>
                <w:b w:val="false"/>
                <w:bCs w:val="false"/>
                <w:sz w:val="20"/>
                <w:szCs w:val="20"/>
              </w:rPr>
              <w:t xml:space="preserve">Via PayPlug, en dehors de la caisse. La caisse reçoit la commande déjà payée avec la référence de transaction.</w:t>
            </w:r>
          </w:p>
        </w:tc>
      </w:tr>
      <w:tr>
        <w:tc>
          <w:tcPr>
            <w:tcW w:type="dxa" w:w="4200"/>
            <w:tcMar>
              <w:top w:type="dxa" w:w="60"/>
              <w:left w:type="dxa" w:w="110"/>
              <w:bottom w:type="dxa" w:w="60"/>
              <w:right w:type="dxa" w:w="110"/>
            </w:tcMar>
          </w:tcPr>
          <w:p>
            <w:r>
              <w:rPr>
                <w:b/>
                <w:bCs/>
                <w:sz w:val="20"/>
                <w:szCs w:val="20"/>
              </w:rPr>
              <w:t xml:space="preserve">Combien de références produits ? De commandes par jour ?</w:t>
            </w:r>
          </w:p>
        </w:tc>
        <w:tc>
          <w:tcPr>
            <w:tcW w:type="dxa" w:w="4800"/>
            <w:tcMar>
              <w:top w:type="dxa" w:w="60"/>
              <w:left w:type="dxa" w:w="110"/>
              <w:bottom w:type="dxa" w:w="60"/>
              <w:right w:type="dxa" w:w="110"/>
            </w:tcMar>
          </w:tcPr>
          <w:p>
            <w:r>
              <w:rPr>
                <w:b w:val="false"/>
                <w:bCs w:val="false"/>
                <w:sz w:val="20"/>
                <w:szCs w:val="20"/>
              </w:rPr>
              <w:t xml:space="preserve">[À compléter — ordre de grandeur d’une boulangerie-pâtisserie artisanale.]</w:t>
            </w:r>
          </w:p>
        </w:tc>
      </w:tr>
      <w:tr>
        <w:tc>
          <w:tcPr>
            <w:tcW w:type="dxa" w:w="4200"/>
            <w:shd w:fill="F2F4F8" w:color="auto" w:val="clear"/>
            <w:tcMar>
              <w:top w:type="dxa" w:w="60"/>
              <w:left w:type="dxa" w:w="110"/>
              <w:bottom w:type="dxa" w:w="60"/>
              <w:right w:type="dxa" w:w="110"/>
            </w:tcMar>
          </w:tcPr>
          <w:p>
            <w:r>
              <w:rPr>
                <w:b/>
                <w:bCs/>
                <w:sz w:val="20"/>
                <w:szCs w:val="20"/>
              </w:rPr>
              <w:t xml:space="preserve">Temps réel ou traitement par lots ?</w:t>
            </w:r>
          </w:p>
        </w:tc>
        <w:tc>
          <w:tcPr>
            <w:tcW w:type="dxa" w:w="4800"/>
            <w:shd w:fill="F2F4F8" w:color="auto" w:val="clear"/>
            <w:tcMar>
              <w:top w:type="dxa" w:w="60"/>
              <w:left w:type="dxa" w:w="110"/>
              <w:bottom w:type="dxa" w:w="60"/>
              <w:right w:type="dxa" w:w="110"/>
            </w:tcMar>
          </w:tcPr>
          <w:p>
            <w:r>
              <w:rPr>
                <w:b w:val="false"/>
                <w:bCs w:val="false"/>
                <w:sz w:val="20"/>
                <w:szCs w:val="20"/>
              </w:rPr>
              <w:t xml:space="preserve">Catalogue en cache avec rafraîchissement (manuel au lancement) ; commandes injectées au moment de la validation/paiement.</w:t>
            </w:r>
          </w:p>
        </w:tc>
      </w:tr>
      <w:tr>
        <w:tc>
          <w:tcPr>
            <w:tcW w:type="dxa" w:w="4200"/>
            <w:tcMar>
              <w:top w:type="dxa" w:w="60"/>
              <w:left w:type="dxa" w:w="110"/>
              <w:bottom w:type="dxa" w:w="60"/>
              <w:right w:type="dxa" w:w="110"/>
            </w:tcMar>
          </w:tcPr>
          <w:p>
            <w:r>
              <w:rPr>
                <w:b/>
                <w:bCs/>
                <w:sz w:val="20"/>
                <w:szCs w:val="20"/>
              </w:rPr>
              <w:t xml:space="preserve">Qui gère le stock ?</w:t>
            </w:r>
          </w:p>
        </w:tc>
        <w:tc>
          <w:tcPr>
            <w:tcW w:type="dxa" w:w="4800"/>
            <w:tcMar>
              <w:top w:type="dxa" w:w="60"/>
              <w:left w:type="dxa" w:w="110"/>
              <w:bottom w:type="dxa" w:w="60"/>
              <w:right w:type="dxa" w:w="110"/>
            </w:tcMar>
          </w:tcPr>
          <w:p>
            <w:r>
              <w:rPr>
                <w:b w:val="false"/>
                <w:bCs w:val="false"/>
                <w:sz w:val="20"/>
                <w:szCs w:val="20"/>
              </w:rPr>
              <w:t xml:space="preserve">La caisse. Le site ne décompte pas de stock ; la disponibilité découle des délais de commande par famille.</w:t>
            </w:r>
          </w:p>
        </w:tc>
      </w:tr>
      <w:tr>
        <w:tc>
          <w:tcPr>
            <w:tcW w:type="dxa" w:w="4200"/>
            <w:shd w:fill="F2F4F8" w:color="auto" w:val="clear"/>
            <w:tcMar>
              <w:top w:type="dxa" w:w="60"/>
              <w:left w:type="dxa" w:w="110"/>
              <w:bottom w:type="dxa" w:w="60"/>
              <w:right w:type="dxa" w:w="110"/>
            </w:tcMar>
          </w:tcPr>
          <w:p>
            <w:r>
              <w:rPr>
                <w:b/>
                <w:bCs/>
                <w:sz w:val="20"/>
                <w:szCs w:val="20"/>
              </w:rPr>
              <w:t xml:space="preserve">Gérez-vous les créneaux et la production ?</w:t>
            </w:r>
          </w:p>
        </w:tc>
        <w:tc>
          <w:tcPr>
            <w:tcW w:type="dxa" w:w="4800"/>
            <w:shd w:fill="F2F4F8" w:color="auto" w:val="clear"/>
            <w:tcMar>
              <w:top w:type="dxa" w:w="60"/>
              <w:left w:type="dxa" w:w="110"/>
              <w:bottom w:type="dxa" w:w="60"/>
              <w:right w:type="dxa" w:w="110"/>
            </w:tcMar>
          </w:tcPr>
          <w:p>
            <w:r>
              <w:rPr>
                <w:b w:val="false"/>
                <w:bCs w:val="false"/>
                <w:sz w:val="20"/>
                <w:szCs w:val="20"/>
              </w:rPr>
              <w:t xml:space="preserve">Le site gère le choix du créneau et calcule la disponibilité ; la commande transmise porte le créneau retenu pour la production.</w:t>
            </w:r>
          </w:p>
        </w:tc>
      </w:tr>
      <w:tr>
        <w:tc>
          <w:tcPr>
            <w:tcW w:type="dxa" w:w="4200"/>
            <w:tcMar>
              <w:top w:type="dxa" w:w="60"/>
              <w:left w:type="dxa" w:w="110"/>
              <w:bottom w:type="dxa" w:w="60"/>
              <w:right w:type="dxa" w:w="110"/>
            </w:tcMar>
          </w:tcPr>
          <w:p>
            <w:r>
              <w:rPr>
                <w:b/>
                <w:bCs/>
                <w:sz w:val="20"/>
                <w:szCs w:val="20"/>
              </w:rPr>
              <w:t xml:space="preserve">Un seul magasin ?</w:t>
            </w:r>
          </w:p>
        </w:tc>
        <w:tc>
          <w:tcPr>
            <w:tcW w:type="dxa" w:w="4800"/>
            <w:tcMar>
              <w:top w:type="dxa" w:w="60"/>
              <w:left w:type="dxa" w:w="110"/>
              <w:bottom w:type="dxa" w:w="60"/>
              <w:right w:type="dxa" w:w="110"/>
            </w:tcMar>
          </w:tcPr>
          <w:p>
            <w:r>
              <w:rPr>
                <w:b w:val="false"/>
                <w:bCs w:val="false"/>
                <w:sz w:val="20"/>
                <w:szCs w:val="20"/>
              </w:rPr>
              <w:t xml:space="preserve">Oui au lancement ; le modèle prévoit plusieurs points de retrait à terme.</w:t>
            </w:r>
          </w:p>
        </w:tc>
      </w:tr>
      <w:tr>
        <w:tc>
          <w:tcPr>
            <w:tcW w:type="dxa" w:w="4200"/>
            <w:shd w:fill="F2F4F8" w:color="auto" w:val="clear"/>
            <w:tcMar>
              <w:top w:type="dxa" w:w="60"/>
              <w:left w:type="dxa" w:w="110"/>
              <w:bottom w:type="dxa" w:w="60"/>
              <w:right w:type="dxa" w:w="110"/>
            </w:tcMar>
          </w:tcPr>
          <w:p>
            <w:r>
              <w:rPr>
                <w:b/>
                <w:bCs/>
                <w:sz w:val="20"/>
                <w:szCs w:val="20"/>
              </w:rPr>
              <w:t xml:space="preserve">Quel format d’échange ?</w:t>
            </w:r>
          </w:p>
        </w:tc>
        <w:tc>
          <w:tcPr>
            <w:tcW w:type="dxa" w:w="4800"/>
            <w:shd w:fill="F2F4F8" w:color="auto" w:val="clear"/>
            <w:tcMar>
              <w:top w:type="dxa" w:w="60"/>
              <w:left w:type="dxa" w:w="110"/>
              <w:bottom w:type="dxa" w:w="60"/>
              <w:right w:type="dxa" w:w="110"/>
            </w:tcMar>
          </w:tcPr>
          <w:p>
            <w:r>
              <w:rPr>
                <w:b w:val="false"/>
                <w:bCs w:val="false"/>
                <w:sz w:val="20"/>
                <w:szCs w:val="20"/>
              </w:rPr>
              <w:t xml:space="preserve">REST/JSON idéalement ; nous pouvons nous adapter à ce que vous exposez.</w:t>
            </w:r>
          </w:p>
        </w:tc>
      </w:tr>
      <w:tr>
        <w:tc>
          <w:tcPr>
            <w:tcW w:type="dxa" w:w="4200"/>
            <w:tcMar>
              <w:top w:type="dxa" w:w="60"/>
              <w:left w:type="dxa" w:w="110"/>
              <w:bottom w:type="dxa" w:w="60"/>
              <w:right w:type="dxa" w:w="110"/>
            </w:tcMar>
          </w:tcPr>
          <w:p>
            <w:r>
              <w:rPr>
                <w:b/>
                <w:bCs/>
                <w:sz w:val="20"/>
                <w:szCs w:val="20"/>
              </w:rPr>
              <w:t xml:space="preserve">Avez-vous besoin d’un environnement de test ?</w:t>
            </w:r>
          </w:p>
        </w:tc>
        <w:tc>
          <w:tcPr>
            <w:tcW w:type="dxa" w:w="4800"/>
            <w:tcMar>
              <w:top w:type="dxa" w:w="60"/>
              <w:left w:type="dxa" w:w="110"/>
              <w:bottom w:type="dxa" w:w="60"/>
              <w:right w:type="dxa" w:w="110"/>
            </w:tcMar>
          </w:tcPr>
          <w:p>
            <w:r>
              <w:rPr>
                <w:b w:val="false"/>
                <w:bCs w:val="false"/>
                <w:sz w:val="20"/>
                <w:szCs w:val="20"/>
              </w:rPr>
              <w:t xml:space="preserve">Oui : accès sandbox + documentation d’API, pour développer contre un simulateur puis basculer sans réécriture.</w:t>
            </w:r>
          </w:p>
        </w:tc>
      </w:tr>
    </w:tbl>
    <w:p>
      <w:pPr>
        <w:pStyle w:val="Heading1"/>
      </w:pPr>
      <w:r>
        <w:t xml:space="preserve">4. Ce dont j’ai besoin de sa part</w:t>
      </w:r>
    </w:p>
    <w:p>
      <w:pPr>
        <w:spacing w:after="120" w:line="276"/>
      </w:pPr>
      <w:r>
        <w:rPr>
          <w:i/>
          <w:iCs/>
        </w:rPr>
        <w:t xml:space="preserve">Questions à poser, regroupées par thème. Colonne de droite à remplir pendant l’entretien.</w:t>
      </w:r>
    </w:p>
    <w:p>
      <w:pPr>
        <w:spacing w:after="70" w:before="180"/>
      </w:pPr>
      <w:r>
        <w:rPr>
          <w:b/>
          <w:bCs/>
          <w:color w:val="2E5496"/>
          <w:sz w:val="23"/>
          <w:szCs w:val="23"/>
        </w:rPr>
        <w:t xml:space="preserve">A. Catalogue &amp; prix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300"/>
        <w:gridCol w:w="3700"/>
      </w:tblGrid>
      <w:tr>
        <w:trPr>
          <w:tblHeader/>
        </w:trPr>
        <w:tc>
          <w:tcPr>
            <w:tcW w:type="dxa" w:w="5300"/>
            <w:shd w:fill="1F3864" w:color="auto" w:val="clear"/>
            <w:tcMar>
              <w:top w:type="dxa" w:w="60"/>
              <w:left w:type="dxa" w:w="110"/>
              <w:bottom w:type="dxa" w:w="60"/>
              <w:right w:type="dxa" w:w="110"/>
            </w:tcMar>
          </w:tcPr>
          <w:p>
            <w:r>
              <w:rPr>
                <w:b/>
                <w:bCs/>
                <w:color w:val="FFFFFF"/>
                <w:sz w:val="20"/>
                <w:szCs w:val="20"/>
              </w:rPr>
              <w:t xml:space="preserve">Question à poser</w:t>
            </w:r>
          </w:p>
        </w:tc>
        <w:tc>
          <w:tcPr>
            <w:tcW w:type="dxa" w:w="3700"/>
            <w:shd w:fill="1F3864" w:color="auto" w:val="clear"/>
            <w:tcMar>
              <w:top w:type="dxa" w:w="60"/>
              <w:left w:type="dxa" w:w="110"/>
              <w:bottom w:type="dxa" w:w="60"/>
              <w:right w:type="dxa" w:w="110"/>
            </w:tcMar>
          </w:tcPr>
          <w:p>
            <w:r>
              <w:rPr>
                <w:b/>
                <w:bCs/>
                <w:color w:val="FFFFFF"/>
                <w:sz w:val="20"/>
                <w:szCs w:val="20"/>
              </w:rPr>
              <w:t xml:space="preserve">Réponse de l’éditeur</w:t>
            </w:r>
          </w:p>
        </w:tc>
      </w:tr>
      <w:tr>
        <w:tc>
          <w:tcPr>
            <w:tcW w:type="dxa" w:w="5300"/>
            <w:tcMar>
              <w:top w:type="dxa" w:w="60"/>
              <w:left w:type="dxa" w:w="110"/>
              <w:bottom w:type="dxa" w:w="60"/>
              <w:right w:type="dxa" w:w="110"/>
            </w:tcMar>
          </w:tcPr>
          <w:p>
            <w:r>
              <w:rPr>
                <w:b w:val="false"/>
                <w:bCs w:val="false"/>
                <w:sz w:val="20"/>
                <w:szCs w:val="20"/>
              </w:rPr>
              <w:t xml:space="preserve">Exposez-vous le catalogue via une API (produits, déclinaisons, options, formules, groupes de choix)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Le prix de référence est-il disponible par produit / déclinaison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Fournissez-vous les familles / catégories et le rattachement des produits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Gérez-vous et exposez-vous les promotions / prix promotionnels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Exposez-vous des délais de commande / de disponibilité par famille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Comment récupère-t-on les mises à jour (appel à la demande, webhooks, export périodique) ?</w:t>
            </w:r>
          </w:p>
        </w:tc>
        <w:tc>
          <w:tcPr>
            <w:tcW w:type="dxa" w:w="3700"/>
            <w:shd w:fill="F2F4F8" w:color="auto" w:val="clear"/>
            <w:tcMar>
              <w:top w:type="dxa" w:w="90"/>
              <w:left w:type="dxa" w:w="110"/>
              <w:bottom w:type="dxa" w:w="90"/>
              <w:right w:type="dxa" w:w="110"/>
            </w:tcMar>
          </w:tcPr>
          <w:p>
            <w:r>
              <w:t xml:space="preserve"/>
            </w:r>
          </w:p>
        </w:tc>
      </w:tr>
    </w:tbl>
    <w:p>
      <w:pPr>
        <w:spacing w:after="100"/>
      </w:pPr>
    </w:p>
    <w:p>
      <w:pPr>
        <w:spacing w:after="70" w:before="180"/>
      </w:pPr>
      <w:r>
        <w:rPr>
          <w:b/>
          <w:bCs/>
          <w:color w:val="2E5496"/>
          <w:sz w:val="23"/>
          <w:szCs w:val="23"/>
        </w:rPr>
        <w:t xml:space="preserve">B. Réception des commandes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300"/>
        <w:gridCol w:w="3700"/>
      </w:tblGrid>
      <w:tr>
        <w:trPr>
          <w:tblHeader/>
        </w:trPr>
        <w:tc>
          <w:tcPr>
            <w:tcW w:type="dxa" w:w="5300"/>
            <w:shd w:fill="1F3864" w:color="auto" w:val="clear"/>
            <w:tcMar>
              <w:top w:type="dxa" w:w="60"/>
              <w:left w:type="dxa" w:w="110"/>
              <w:bottom w:type="dxa" w:w="60"/>
              <w:right w:type="dxa" w:w="110"/>
            </w:tcMar>
          </w:tcPr>
          <w:p>
            <w:r>
              <w:rPr>
                <w:b/>
                <w:bCs/>
                <w:color w:val="FFFFFF"/>
                <w:sz w:val="20"/>
                <w:szCs w:val="20"/>
              </w:rPr>
              <w:t xml:space="preserve">Question à poser</w:t>
            </w:r>
          </w:p>
        </w:tc>
        <w:tc>
          <w:tcPr>
            <w:tcW w:type="dxa" w:w="3700"/>
            <w:shd w:fill="1F3864" w:color="auto" w:val="clear"/>
            <w:tcMar>
              <w:top w:type="dxa" w:w="60"/>
              <w:left w:type="dxa" w:w="110"/>
              <w:bottom w:type="dxa" w:w="60"/>
              <w:right w:type="dxa" w:w="110"/>
            </w:tcMar>
          </w:tcPr>
          <w:p>
            <w:r>
              <w:rPr>
                <w:b/>
                <w:bCs/>
                <w:color w:val="FFFFFF"/>
                <w:sz w:val="20"/>
                <w:szCs w:val="20"/>
              </w:rPr>
              <w:t xml:space="preserve">Réponse de l’éditeur</w:t>
            </w:r>
          </w:p>
        </w:tc>
      </w:tr>
      <w:tr>
        <w:tc>
          <w:tcPr>
            <w:tcW w:type="dxa" w:w="5300"/>
            <w:tcMar>
              <w:top w:type="dxa" w:w="60"/>
              <w:left w:type="dxa" w:w="110"/>
              <w:bottom w:type="dxa" w:w="60"/>
              <w:right w:type="dxa" w:w="110"/>
            </w:tcMar>
          </w:tcPr>
          <w:p>
            <w:r>
              <w:rPr>
                <w:b w:val="false"/>
                <w:bCs w:val="false"/>
                <w:sz w:val="20"/>
                <w:szCs w:val="20"/>
              </w:rPr>
              <w:t xml:space="preserve">Pouvez-vous recevoir une commande passée en ligne, déjà payée, pour production ? Par quel mécanisme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Quels champs attendez-vous (lignes, options, créneau, point de retrait, client, référence de paiement)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Est-ce le site qui pousse la commande, ou la caisse qui vient la chercher (pull)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Gérez-vous l’idempotence / les doublons ? Renvoyez-vous un accusé ou une référence caisse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Peut-on notifier une annulation de commande ?</w:t>
            </w:r>
          </w:p>
        </w:tc>
        <w:tc>
          <w:tcPr>
            <w:tcW w:type="dxa" w:w="3700"/>
            <w:tcMar>
              <w:top w:type="dxa" w:w="90"/>
              <w:left w:type="dxa" w:w="110"/>
              <w:bottom w:type="dxa" w:w="90"/>
              <w:right w:type="dxa" w:w="110"/>
            </w:tcMar>
          </w:tcPr>
          <w:p>
            <w:r>
              <w:t xml:space="preserve"/>
            </w:r>
          </w:p>
        </w:tc>
      </w:tr>
    </w:tbl>
    <w:p>
      <w:pPr>
        <w:spacing w:after="100"/>
      </w:pPr>
    </w:p>
    <w:p>
      <w:pPr>
        <w:spacing w:after="70" w:before="180"/>
      </w:pPr>
      <w:r>
        <w:rPr>
          <w:b/>
          <w:bCs/>
          <w:color w:val="2E5496"/>
          <w:sz w:val="23"/>
          <w:szCs w:val="23"/>
        </w:rPr>
        <w:t xml:space="preserve">C. Avoirs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300"/>
        <w:gridCol w:w="3700"/>
      </w:tblGrid>
      <w:tr>
        <w:trPr>
          <w:tblHeader/>
        </w:trPr>
        <w:tc>
          <w:tcPr>
            <w:tcW w:type="dxa" w:w="5300"/>
            <w:shd w:fill="1F3864" w:color="auto" w:val="clear"/>
            <w:tcMar>
              <w:top w:type="dxa" w:w="60"/>
              <w:left w:type="dxa" w:w="110"/>
              <w:bottom w:type="dxa" w:w="60"/>
              <w:right w:type="dxa" w:w="110"/>
            </w:tcMar>
          </w:tcPr>
          <w:p>
            <w:r>
              <w:rPr>
                <w:b/>
                <w:bCs/>
                <w:color w:val="FFFFFF"/>
                <w:sz w:val="20"/>
                <w:szCs w:val="20"/>
              </w:rPr>
              <w:t xml:space="preserve">Question à poser</w:t>
            </w:r>
          </w:p>
        </w:tc>
        <w:tc>
          <w:tcPr>
            <w:tcW w:type="dxa" w:w="3700"/>
            <w:shd w:fill="1F3864" w:color="auto" w:val="clear"/>
            <w:tcMar>
              <w:top w:type="dxa" w:w="60"/>
              <w:left w:type="dxa" w:w="110"/>
              <w:bottom w:type="dxa" w:w="60"/>
              <w:right w:type="dxa" w:w="110"/>
            </w:tcMar>
          </w:tcPr>
          <w:p>
            <w:r>
              <w:rPr>
                <w:b/>
                <w:bCs/>
                <w:color w:val="FFFFFF"/>
                <w:sz w:val="20"/>
                <w:szCs w:val="20"/>
              </w:rPr>
              <w:t xml:space="preserve">Réponse de l’éditeur</w:t>
            </w:r>
          </w:p>
        </w:tc>
      </w:tr>
      <w:tr>
        <w:tc>
          <w:tcPr>
            <w:tcW w:type="dxa" w:w="5300"/>
            <w:tcMar>
              <w:top w:type="dxa" w:w="60"/>
              <w:left w:type="dxa" w:w="110"/>
              <w:bottom w:type="dxa" w:w="60"/>
              <w:right w:type="dxa" w:w="110"/>
            </w:tcMar>
          </w:tcPr>
          <w:p>
            <w:r>
              <w:rPr>
                <w:b w:val="false"/>
                <w:bCs w:val="false"/>
                <w:sz w:val="20"/>
                <w:szCs w:val="20"/>
              </w:rPr>
              <w:t xml:space="preserve">L’API permet-elle de créer un avoir (suite à une annulation)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Peut-on lire le solde d’un avoir et l’imputer / le décrémenter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Générez-vous un code / bon scannable (code-barres, QR) utilisable au comptoir ? Quel format ?</w:t>
            </w:r>
          </w:p>
        </w:tc>
        <w:tc>
          <w:tcPr>
            <w:tcW w:type="dxa" w:w="3700"/>
            <w:tcMar>
              <w:top w:type="dxa" w:w="90"/>
              <w:left w:type="dxa" w:w="110"/>
              <w:bottom w:type="dxa" w:w="90"/>
              <w:right w:type="dxa" w:w="110"/>
            </w:tcMar>
          </w:tcPr>
          <w:p>
            <w:r>
              <w:t xml:space="preserve"/>
            </w:r>
          </w:p>
        </w:tc>
      </w:tr>
    </w:tbl>
    <w:p>
      <w:pPr>
        <w:spacing w:after="100"/>
      </w:pPr>
    </w:p>
    <w:p>
      <w:pPr>
        <w:spacing w:after="70" w:before="180"/>
      </w:pPr>
      <w:r>
        <w:rPr>
          <w:b/>
          <w:bCs/>
          <w:color w:val="2E5496"/>
          <w:sz w:val="23"/>
          <w:szCs w:val="23"/>
        </w:rPr>
        <w:t xml:space="preserve">D. Client / fidélité</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300"/>
        <w:gridCol w:w="3700"/>
      </w:tblGrid>
      <w:tr>
        <w:trPr>
          <w:tblHeader/>
        </w:trPr>
        <w:tc>
          <w:tcPr>
            <w:tcW w:type="dxa" w:w="5300"/>
            <w:shd w:fill="1F3864" w:color="auto" w:val="clear"/>
            <w:tcMar>
              <w:top w:type="dxa" w:w="60"/>
              <w:left w:type="dxa" w:w="110"/>
              <w:bottom w:type="dxa" w:w="60"/>
              <w:right w:type="dxa" w:w="110"/>
            </w:tcMar>
          </w:tcPr>
          <w:p>
            <w:r>
              <w:rPr>
                <w:b/>
                <w:bCs/>
                <w:color w:val="FFFFFF"/>
                <w:sz w:val="20"/>
                <w:szCs w:val="20"/>
              </w:rPr>
              <w:t xml:space="preserve">Question à poser</w:t>
            </w:r>
          </w:p>
        </w:tc>
        <w:tc>
          <w:tcPr>
            <w:tcW w:type="dxa" w:w="3700"/>
            <w:shd w:fill="1F3864" w:color="auto" w:val="clear"/>
            <w:tcMar>
              <w:top w:type="dxa" w:w="60"/>
              <w:left w:type="dxa" w:w="110"/>
              <w:bottom w:type="dxa" w:w="60"/>
              <w:right w:type="dxa" w:w="110"/>
            </w:tcMar>
          </w:tcPr>
          <w:p>
            <w:r>
              <w:rPr>
                <w:b/>
                <w:bCs/>
                <w:color w:val="FFFFFF"/>
                <w:sz w:val="20"/>
                <w:szCs w:val="20"/>
              </w:rPr>
              <w:t xml:space="preserve">Réponse de l’éditeur</w:t>
            </w:r>
          </w:p>
        </w:tc>
      </w:tr>
      <w:tr>
        <w:tc>
          <w:tcPr>
            <w:tcW w:type="dxa" w:w="5300"/>
            <w:tcMar>
              <w:top w:type="dxa" w:w="60"/>
              <w:left w:type="dxa" w:w="110"/>
              <w:bottom w:type="dxa" w:w="60"/>
              <w:right w:type="dxa" w:w="110"/>
            </w:tcMar>
          </w:tcPr>
          <w:p>
            <w:r>
              <w:rPr>
                <w:b w:val="false"/>
                <w:bCs w:val="false"/>
                <w:sz w:val="20"/>
                <w:szCs w:val="20"/>
              </w:rPr>
              <w:t xml:space="preserve">Disposez-vous d’une base client / d’un programme de fidélité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Peut-on rapprocher ou créer un client par e-mail depuis le site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Peut-on récupérer l’historique d’achats d’un client (en ligne + boutique) ?</w:t>
            </w:r>
          </w:p>
        </w:tc>
        <w:tc>
          <w:tcPr>
            <w:tcW w:type="dxa" w:w="3700"/>
            <w:tcMar>
              <w:top w:type="dxa" w:w="90"/>
              <w:left w:type="dxa" w:w="110"/>
              <w:bottom w:type="dxa" w:w="90"/>
              <w:right w:type="dxa" w:w="110"/>
            </w:tcMar>
          </w:tcPr>
          <w:p>
            <w:r>
              <w:t xml:space="preserve"/>
            </w:r>
          </w:p>
        </w:tc>
      </w:tr>
    </w:tbl>
    <w:p>
      <w:pPr>
        <w:spacing w:after="100"/>
      </w:pPr>
    </w:p>
    <w:p>
      <w:pPr>
        <w:spacing w:after="70" w:before="180"/>
      </w:pPr>
      <w:r>
        <w:rPr>
          <w:b/>
          <w:bCs/>
          <w:color w:val="2E5496"/>
          <w:sz w:val="23"/>
          <w:szCs w:val="23"/>
        </w:rPr>
        <w:t xml:space="preserve">E. Technique &amp; intégration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300"/>
        <w:gridCol w:w="3700"/>
      </w:tblGrid>
      <w:tr>
        <w:trPr>
          <w:tblHeader/>
        </w:trPr>
        <w:tc>
          <w:tcPr>
            <w:tcW w:type="dxa" w:w="5300"/>
            <w:shd w:fill="1F3864" w:color="auto" w:val="clear"/>
            <w:tcMar>
              <w:top w:type="dxa" w:w="60"/>
              <w:left w:type="dxa" w:w="110"/>
              <w:bottom w:type="dxa" w:w="60"/>
              <w:right w:type="dxa" w:w="110"/>
            </w:tcMar>
          </w:tcPr>
          <w:p>
            <w:r>
              <w:rPr>
                <w:b/>
                <w:bCs/>
                <w:color w:val="FFFFFF"/>
                <w:sz w:val="20"/>
                <w:szCs w:val="20"/>
              </w:rPr>
              <w:t xml:space="preserve">Question à poser</w:t>
            </w:r>
          </w:p>
        </w:tc>
        <w:tc>
          <w:tcPr>
            <w:tcW w:type="dxa" w:w="3700"/>
            <w:shd w:fill="1F3864" w:color="auto" w:val="clear"/>
            <w:tcMar>
              <w:top w:type="dxa" w:w="60"/>
              <w:left w:type="dxa" w:w="110"/>
              <w:bottom w:type="dxa" w:w="60"/>
              <w:right w:type="dxa" w:w="110"/>
            </w:tcMar>
          </w:tcPr>
          <w:p>
            <w:r>
              <w:rPr>
                <w:b/>
                <w:bCs/>
                <w:color w:val="FFFFFF"/>
                <w:sz w:val="20"/>
                <w:szCs w:val="20"/>
              </w:rPr>
              <w:t xml:space="preserve">Réponse de l’éditeur</w:t>
            </w:r>
          </w:p>
        </w:tc>
      </w:tr>
      <w:tr>
        <w:tc>
          <w:tcPr>
            <w:tcW w:type="dxa" w:w="5300"/>
            <w:tcMar>
              <w:top w:type="dxa" w:w="60"/>
              <w:left w:type="dxa" w:w="110"/>
              <w:bottom w:type="dxa" w:w="60"/>
              <w:right w:type="dxa" w:w="110"/>
            </w:tcMar>
          </w:tcPr>
          <w:p>
            <w:r>
              <w:rPr>
                <w:b w:val="false"/>
                <w:bCs w:val="false"/>
                <w:sz w:val="20"/>
                <w:szCs w:val="20"/>
              </w:rPr>
              <w:t xml:space="preserve">Type d’API (REST, SOAP, fichiers) et documentation disponible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Authentification (clé API, OAuth, autre)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Environnement de test / sandbox et jeu de données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Limites de débit, disponibilité / SLA, comportement en cas d’indisponibilité ?</w:t>
            </w:r>
          </w:p>
        </w:tc>
        <w:tc>
          <w:tcPr>
            <w:tcW w:type="dxa" w:w="3700"/>
            <w:shd w:fill="F2F4F8" w:color="auto" w:val="clear"/>
            <w:tcMar>
              <w:top w:type="dxa" w:w="90"/>
              <w:left w:type="dxa" w:w="110"/>
              <w:bottom w:type="dxa" w:w="90"/>
              <w:right w:type="dxa" w:w="110"/>
            </w:tcMar>
          </w:tcPr>
          <w:p>
            <w:r>
              <w:t xml:space="preserve"/>
            </w:r>
          </w:p>
        </w:tc>
      </w:tr>
      <w:tr>
        <w:tc>
          <w:tcPr>
            <w:tcW w:type="dxa" w:w="5300"/>
            <w:tcMar>
              <w:top w:type="dxa" w:w="60"/>
              <w:left w:type="dxa" w:w="110"/>
              <w:bottom w:type="dxa" w:w="60"/>
              <w:right w:type="dxa" w:w="110"/>
            </w:tcMar>
          </w:tcPr>
          <w:p>
            <w:r>
              <w:rPr>
                <w:b w:val="false"/>
                <w:bCs w:val="false"/>
                <w:sz w:val="20"/>
                <w:szCs w:val="20"/>
              </w:rPr>
              <w:t xml:space="preserve">Support technique et interlocuteur dédié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Coût éventuel de l’API / du connecteur, et délai de mise à disposition ?</w:t>
            </w:r>
          </w:p>
        </w:tc>
        <w:tc>
          <w:tcPr>
            <w:tcW w:type="dxa" w:w="3700"/>
            <w:shd w:fill="F2F4F8" w:color="auto" w:val="clear"/>
            <w:tcMar>
              <w:top w:type="dxa" w:w="90"/>
              <w:left w:type="dxa" w:w="110"/>
              <w:bottom w:type="dxa" w:w="90"/>
              <w:right w:type="dxa" w:w="110"/>
            </w:tcMar>
          </w:tcPr>
          <w:p>
            <w:r>
              <w:t xml:space="preserve"/>
            </w:r>
          </w:p>
        </w:tc>
      </w:tr>
    </w:tbl>
    <w:p>
      <w:pPr>
        <w:spacing w:after="100"/>
      </w:pPr>
    </w:p>
    <w:p>
      <w:pPr>
        <w:spacing w:after="70" w:before="180"/>
      </w:pPr>
      <w:r>
        <w:rPr>
          <w:b/>
          <w:bCs/>
          <w:color w:val="2E5496"/>
          <w:sz w:val="23"/>
          <w:szCs w:val="23"/>
        </w:rPr>
        <w:t xml:space="preserve">F. Sécurité &amp; conformité</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300"/>
        <w:gridCol w:w="3700"/>
      </w:tblGrid>
      <w:tr>
        <w:trPr>
          <w:tblHeader/>
        </w:trPr>
        <w:tc>
          <w:tcPr>
            <w:tcW w:type="dxa" w:w="5300"/>
            <w:shd w:fill="1F3864" w:color="auto" w:val="clear"/>
            <w:tcMar>
              <w:top w:type="dxa" w:w="60"/>
              <w:left w:type="dxa" w:w="110"/>
              <w:bottom w:type="dxa" w:w="60"/>
              <w:right w:type="dxa" w:w="110"/>
            </w:tcMar>
          </w:tcPr>
          <w:p>
            <w:r>
              <w:rPr>
                <w:b/>
                <w:bCs/>
                <w:color w:val="FFFFFF"/>
                <w:sz w:val="20"/>
                <w:szCs w:val="20"/>
              </w:rPr>
              <w:t xml:space="preserve">Question à poser</w:t>
            </w:r>
          </w:p>
        </w:tc>
        <w:tc>
          <w:tcPr>
            <w:tcW w:type="dxa" w:w="3700"/>
            <w:shd w:fill="1F3864" w:color="auto" w:val="clear"/>
            <w:tcMar>
              <w:top w:type="dxa" w:w="60"/>
              <w:left w:type="dxa" w:w="110"/>
              <w:bottom w:type="dxa" w:w="60"/>
              <w:right w:type="dxa" w:w="110"/>
            </w:tcMar>
          </w:tcPr>
          <w:p>
            <w:r>
              <w:rPr>
                <w:b/>
                <w:bCs/>
                <w:color w:val="FFFFFF"/>
                <w:sz w:val="20"/>
                <w:szCs w:val="20"/>
              </w:rPr>
              <w:t xml:space="preserve">Réponse de l’éditeur</w:t>
            </w:r>
          </w:p>
        </w:tc>
      </w:tr>
      <w:tr>
        <w:tc>
          <w:tcPr>
            <w:tcW w:type="dxa" w:w="5300"/>
            <w:tcMar>
              <w:top w:type="dxa" w:w="60"/>
              <w:left w:type="dxa" w:w="110"/>
              <w:bottom w:type="dxa" w:w="60"/>
              <w:right w:type="dxa" w:w="110"/>
            </w:tcMar>
          </w:tcPr>
          <w:p>
            <w:r>
              <w:rPr>
                <w:b w:val="false"/>
                <w:bCs w:val="false"/>
                <w:sz w:val="20"/>
                <w:szCs w:val="20"/>
              </w:rPr>
              <w:t xml:space="preserve">Quelles données personnelles transitent, et sous quelles conditions (RGPD) ?</w:t>
            </w:r>
          </w:p>
        </w:tc>
        <w:tc>
          <w:tcPr>
            <w:tcW w:type="dxa" w:w="3700"/>
            <w:tcMar>
              <w:top w:type="dxa" w:w="90"/>
              <w:left w:type="dxa" w:w="110"/>
              <w:bottom w:type="dxa" w:w="90"/>
              <w:right w:type="dxa" w:w="110"/>
            </w:tcMar>
          </w:tcPr>
          <w:p>
            <w:r>
              <w:t xml:space="preserve"/>
            </w:r>
          </w:p>
        </w:tc>
      </w:tr>
      <w:tr>
        <w:tc>
          <w:tcPr>
            <w:tcW w:type="dxa" w:w="5300"/>
            <w:shd w:fill="F2F4F8" w:color="auto" w:val="clear"/>
            <w:tcMar>
              <w:top w:type="dxa" w:w="60"/>
              <w:left w:type="dxa" w:w="110"/>
              <w:bottom w:type="dxa" w:w="60"/>
              <w:right w:type="dxa" w:w="110"/>
            </w:tcMar>
          </w:tcPr>
          <w:p>
            <w:r>
              <w:rPr>
                <w:b w:val="false"/>
                <w:bCs w:val="false"/>
                <w:sz w:val="20"/>
                <w:szCs w:val="20"/>
              </w:rPr>
              <w:t xml:space="preserve">Comment les échanges sont-ils sécurisés (chiffrement, authentification) ?</w:t>
            </w:r>
          </w:p>
        </w:tc>
        <w:tc>
          <w:tcPr>
            <w:tcW w:type="dxa" w:w="3700"/>
            <w:shd w:fill="F2F4F8" w:color="auto" w:val="clear"/>
            <w:tcMar>
              <w:top w:type="dxa" w:w="90"/>
              <w:left w:type="dxa" w:w="110"/>
              <w:bottom w:type="dxa" w:w="90"/>
              <w:right w:type="dxa" w:w="110"/>
            </w:tcMar>
          </w:tcPr>
          <w:p>
            <w:r>
              <w:t xml:space="preserve"/>
            </w:r>
          </w:p>
        </w:tc>
      </w:tr>
    </w:tbl>
    <w:p>
      <w:pPr>
        <w:pStyle w:val="Heading1"/>
      </w:pPr>
      <w:r>
        <w:t xml:space="preserve">5. Décisions du projet suspendues à ses réponses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600"/>
        <w:gridCol w:w="4400"/>
      </w:tblGrid>
      <w:tr>
        <w:trPr>
          <w:tblHeader/>
        </w:trPr>
        <w:tc>
          <w:tcPr>
            <w:tcW w:type="dxa" w:w="4600"/>
            <w:shd w:fill="1F3864" w:color="auto" w:val="clear"/>
            <w:tcMar>
              <w:top w:type="dxa" w:w="60"/>
              <w:left w:type="dxa" w:w="110"/>
              <w:bottom w:type="dxa" w:w="60"/>
              <w:right w:type="dxa" w:w="110"/>
            </w:tcMar>
          </w:tcPr>
          <w:p>
            <w:r>
              <w:rPr>
                <w:b/>
                <w:bCs/>
                <w:color w:val="FFFFFF"/>
                <w:sz w:val="20"/>
                <w:szCs w:val="20"/>
              </w:rPr>
              <w:t xml:space="preserve">Décision à prendre</w:t>
            </w:r>
          </w:p>
        </w:tc>
        <w:tc>
          <w:tcPr>
            <w:tcW w:type="dxa" w:w="4400"/>
            <w:shd w:fill="1F3864" w:color="auto" w:val="clear"/>
            <w:tcMar>
              <w:top w:type="dxa" w:w="60"/>
              <w:left w:type="dxa" w:w="110"/>
              <w:bottom w:type="dxa" w:w="60"/>
              <w:right w:type="dxa" w:w="110"/>
            </w:tcMar>
          </w:tcPr>
          <w:p>
            <w:r>
              <w:rPr>
                <w:b/>
                <w:bCs/>
                <w:color w:val="FFFFFF"/>
                <w:sz w:val="20"/>
                <w:szCs w:val="20"/>
              </w:rPr>
              <w:t xml:space="preserve">Dépend de</w:t>
            </w:r>
          </w:p>
        </w:tc>
      </w:tr>
      <w:tr>
        <w:tc>
          <w:tcPr>
            <w:tcW w:type="dxa" w:w="4600"/>
            <w:tcMar>
              <w:top w:type="dxa" w:w="60"/>
              <w:left w:type="dxa" w:w="110"/>
              <w:bottom w:type="dxa" w:w="60"/>
              <w:right w:type="dxa" w:w="110"/>
            </w:tcMar>
          </w:tcPr>
          <w:p>
            <w:r>
              <w:rPr>
                <w:b/>
                <w:bCs/>
                <w:sz w:val="20"/>
                <w:szCs w:val="20"/>
              </w:rPr>
              <w:t xml:space="preserve">Propriétaire des avoirs (caisse ou repli site)</w:t>
            </w:r>
          </w:p>
        </w:tc>
        <w:tc>
          <w:tcPr>
            <w:tcW w:type="dxa" w:w="4400"/>
            <w:tcMar>
              <w:top w:type="dxa" w:w="60"/>
              <w:left w:type="dxa" w:w="110"/>
              <w:bottom w:type="dxa" w:w="60"/>
              <w:right w:type="dxa" w:w="110"/>
            </w:tcMar>
          </w:tcPr>
          <w:p>
            <w:r>
              <w:rPr>
                <w:b w:val="false"/>
                <w:bCs w:val="false"/>
                <w:sz w:val="20"/>
                <w:szCs w:val="20"/>
              </w:rPr>
              <w:t xml:space="preserve">Thème C — gestion des avoirs par l’API</w:t>
            </w:r>
          </w:p>
        </w:tc>
      </w:tr>
      <w:tr>
        <w:tc>
          <w:tcPr>
            <w:tcW w:type="dxa" w:w="4600"/>
            <w:shd w:fill="F2F4F8" w:color="auto" w:val="clear"/>
            <w:tcMar>
              <w:top w:type="dxa" w:w="60"/>
              <w:left w:type="dxa" w:w="110"/>
              <w:bottom w:type="dxa" w:w="60"/>
              <w:right w:type="dxa" w:w="110"/>
            </w:tcMar>
          </w:tcPr>
          <w:p>
            <w:r>
              <w:rPr>
                <w:b/>
                <w:bCs/>
                <w:sz w:val="20"/>
                <w:szCs w:val="20"/>
              </w:rPr>
              <w:t xml:space="preserve">Compte client &amp; historique unifié</w:t>
            </w:r>
          </w:p>
        </w:tc>
        <w:tc>
          <w:tcPr>
            <w:tcW w:type="dxa" w:w="4400"/>
            <w:shd w:fill="F2F4F8" w:color="auto" w:val="clear"/>
            <w:tcMar>
              <w:top w:type="dxa" w:w="60"/>
              <w:left w:type="dxa" w:w="110"/>
              <w:bottom w:type="dxa" w:w="60"/>
              <w:right w:type="dxa" w:w="110"/>
            </w:tcMar>
          </w:tcPr>
          <w:p>
            <w:r>
              <w:rPr>
                <w:b w:val="false"/>
                <w:bCs w:val="false"/>
                <w:sz w:val="20"/>
                <w:szCs w:val="20"/>
              </w:rPr>
              <w:t xml:space="preserve">Thème D — base client de la caisse</w:t>
            </w:r>
          </w:p>
        </w:tc>
      </w:tr>
      <w:tr>
        <w:tc>
          <w:tcPr>
            <w:tcW w:type="dxa" w:w="4600"/>
            <w:tcMar>
              <w:top w:type="dxa" w:w="60"/>
              <w:left w:type="dxa" w:w="110"/>
              <w:bottom w:type="dxa" w:w="60"/>
              <w:right w:type="dxa" w:w="110"/>
            </w:tcMar>
          </w:tcPr>
          <w:p>
            <w:r>
              <w:rPr>
                <w:b/>
                <w:bCs/>
                <w:sz w:val="20"/>
                <w:szCs w:val="20"/>
              </w:rPr>
              <w:t xml:space="preserve">Promotions gérées au site ou à la caisse</w:t>
            </w:r>
          </w:p>
        </w:tc>
        <w:tc>
          <w:tcPr>
            <w:tcW w:type="dxa" w:w="4400"/>
            <w:tcMar>
              <w:top w:type="dxa" w:w="60"/>
              <w:left w:type="dxa" w:w="110"/>
              <w:bottom w:type="dxa" w:w="60"/>
              <w:right w:type="dxa" w:w="110"/>
            </w:tcMar>
          </w:tcPr>
          <w:p>
            <w:r>
              <w:rPr>
                <w:b w:val="false"/>
                <w:bCs w:val="false"/>
                <w:sz w:val="20"/>
                <w:szCs w:val="20"/>
              </w:rPr>
              <w:t xml:space="preserve">Thème A — promotions exposées</w:t>
            </w:r>
          </w:p>
        </w:tc>
      </w:tr>
      <w:tr>
        <w:tc>
          <w:tcPr>
            <w:tcW w:type="dxa" w:w="4600"/>
            <w:shd w:fill="F2F4F8" w:color="auto" w:val="clear"/>
            <w:tcMar>
              <w:top w:type="dxa" w:w="60"/>
              <w:left w:type="dxa" w:w="110"/>
              <w:bottom w:type="dxa" w:w="60"/>
              <w:right w:type="dxa" w:w="110"/>
            </w:tcMar>
          </w:tcPr>
          <w:p>
            <w:r>
              <w:rPr>
                <w:b/>
                <w:bCs/>
                <w:sz w:val="20"/>
                <w:szCs w:val="20"/>
              </w:rPr>
              <w:t xml:space="preserve">Mécanisme d’injection des commandes (push / pull)</w:t>
            </w:r>
          </w:p>
        </w:tc>
        <w:tc>
          <w:tcPr>
            <w:tcW w:type="dxa" w:w="4400"/>
            <w:shd w:fill="F2F4F8" w:color="auto" w:val="clear"/>
            <w:tcMar>
              <w:top w:type="dxa" w:w="60"/>
              <w:left w:type="dxa" w:w="110"/>
              <w:bottom w:type="dxa" w:w="60"/>
              <w:right w:type="dxa" w:w="110"/>
            </w:tcMar>
          </w:tcPr>
          <w:p>
            <w:r>
              <w:rPr>
                <w:b w:val="false"/>
                <w:bCs w:val="false"/>
                <w:sz w:val="20"/>
                <w:szCs w:val="20"/>
              </w:rPr>
              <w:t xml:space="preserve">Thème B — réception des commandes</w:t>
            </w:r>
          </w:p>
        </w:tc>
      </w:tr>
      <w:tr>
        <w:tc>
          <w:tcPr>
            <w:tcW w:type="dxa" w:w="4600"/>
            <w:tcMar>
              <w:top w:type="dxa" w:w="60"/>
              <w:left w:type="dxa" w:w="110"/>
              <w:bottom w:type="dxa" w:w="60"/>
              <w:right w:type="dxa" w:w="110"/>
            </w:tcMar>
          </w:tcPr>
          <w:p>
            <w:r>
              <w:rPr>
                <w:b/>
                <w:bCs/>
                <w:sz w:val="20"/>
                <w:szCs w:val="20"/>
              </w:rPr>
              <w:t xml:space="preserve">Source des heures limites de commande</w:t>
            </w:r>
          </w:p>
        </w:tc>
        <w:tc>
          <w:tcPr>
            <w:tcW w:type="dxa" w:w="4400"/>
            <w:tcMar>
              <w:top w:type="dxa" w:w="60"/>
              <w:left w:type="dxa" w:w="110"/>
              <w:bottom w:type="dxa" w:w="60"/>
              <w:right w:type="dxa" w:w="110"/>
            </w:tcMar>
          </w:tcPr>
          <w:p>
            <w:r>
              <w:rPr>
                <w:b w:val="false"/>
                <w:bCs w:val="false"/>
                <w:sz w:val="20"/>
                <w:szCs w:val="20"/>
              </w:rPr>
              <w:t xml:space="preserve">Thème A — délais par famille exposés</w:t>
            </w:r>
          </w:p>
        </w:tc>
      </w:tr>
    </w:tbl>
    <w:p>
      <w:pPr>
        <w:pStyle w:val="Heading1"/>
      </w:pPr>
      <w:r>
        <w:t xml:space="preserve">6. À obtenir avant de conclure la réunion</w:t>
      </w:r>
    </w:p>
    <w:p>
      <w:pPr>
        <w:spacing w:after="60" w:line="276"/>
        <w:ind w:left="260"/>
      </w:pPr>
      <w:r>
        <w:rPr>
          <w:sz w:val="24"/>
          <w:szCs w:val="24"/>
        </w:rPr>
        <w:t xml:space="preserve">☐  </w:t>
      </w:r>
      <w:r>
        <w:t xml:space="preserve">Documentation de l’API.</w:t>
      </w:r>
    </w:p>
    <w:p>
      <w:pPr>
        <w:spacing w:after="60" w:line="276"/>
        <w:ind w:left="260"/>
      </w:pPr>
      <w:r>
        <w:rPr>
          <w:sz w:val="24"/>
          <w:szCs w:val="24"/>
        </w:rPr>
        <w:t xml:space="preserve">☐  </w:t>
      </w:r>
      <w:r>
        <w:t xml:space="preserve">Accès à un environnement de test / sandbox.</w:t>
      </w:r>
    </w:p>
    <w:p>
      <w:pPr>
        <w:spacing w:after="60" w:line="276"/>
        <w:ind w:left="260"/>
      </w:pPr>
      <w:r>
        <w:rPr>
          <w:sz w:val="24"/>
          <w:szCs w:val="24"/>
        </w:rPr>
        <w:t xml:space="preserve">☐  </w:t>
      </w:r>
      <w:r>
        <w:t xml:space="preserve">Contact technique dédié.</w:t>
      </w:r>
    </w:p>
    <w:p>
      <w:pPr>
        <w:spacing w:after="60" w:line="276"/>
        <w:ind w:left="260"/>
      </w:pPr>
      <w:r>
        <w:rPr>
          <w:sz w:val="24"/>
          <w:szCs w:val="24"/>
        </w:rPr>
        <w:t xml:space="preserve">☐  </w:t>
      </w:r>
      <w:r>
        <w:t xml:space="preserve">Devis éventuel (API / connecteur) et planning de mise à disposition.</w:t>
      </w:r>
    </w:p>
    <w:p>
      <w:pPr>
        <w:spacing w:after="60" w:line="276"/>
        <w:ind w:left="260"/>
      </w:pPr>
      <w:r>
        <w:rPr>
          <w:sz w:val="24"/>
          <w:szCs w:val="24"/>
        </w:rPr>
        <w:t xml:space="preserve">☐  </w:t>
      </w:r>
      <w:r>
        <w:t xml:space="preserve">Confirmation écrite des capacités clés : catalogue, injection de commande, avoirs, client.</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1F386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pPr>
    <w:rPr>
      <w:rFonts w:ascii="Calibri" w:cs="Calibri" w:eastAsia="Calibri" w:hAnsi="Calibri"/>
      <w:b/>
      <w:bCs/>
      <w:color w:val="1F3864"/>
      <w:sz w:val="27"/>
      <w:szCs w:val="2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2026-07-22T06:02:50.751Z</dcterms:created>
  <dcterms:modified xsi:type="dcterms:W3CDTF">2026-07-22T06:02:50.767Z</dcterms:modified>
</cp:coreProperties>
</file>

<file path=docProps/custom.xml><?xml version="1.0" encoding="utf-8"?>
<Properties xmlns="http://schemas.openxmlformats.org/officeDocument/2006/custom-properties" xmlns:vt="http://schemas.openxmlformats.org/officeDocument/2006/docPropsVTypes"/>
</file>