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36"/>
          <w:szCs w:val="36"/>
        </w:rPr>
        <w:t xml:space="preserve">Projet Site e-commerce — Maison Crosnier</w:t>
      </w:r>
    </w:p>
    <w:p>
      <w:pPr>
        <w:spacing w:after="20"/>
      </w:pPr>
      <w:r>
        <w:rPr>
          <w:color w:val="444444"/>
          <w:sz w:val="24"/>
          <w:szCs w:val="24"/>
        </w:rPr>
        <w:t xml:space="preserve">État des spécifications — Version de travail V5</w:t>
      </w:r>
    </w:p>
    <w:p>
      <w:pPr>
        <w:spacing w:after="60"/>
      </w:pPr>
      <w:r>
        <w:rPr>
          <w:i/>
          <w:iCs/>
          <w:color w:val="444444"/>
          <w:sz w:val="20"/>
          <w:szCs w:val="20"/>
        </w:rPr>
        <w:t xml:space="preserve">Document de synthèse des décisions validées à ce jour. Mise à jour : 22 juillet 2026.</w:t>
      </w:r>
    </w:p>
    <w:p>
      <w:pPr>
        <w:pBdr>
          <w:bottom w:val="single" w:color="1F3864" w:sz="8" w:space="6"/>
        </w:pBdr>
        <w:spacing w:after="200"/>
      </w:pPr>
      <w:r>
        <w:rPr>
          <w:i/>
          <w:iCs/>
          <w:color w:val="444444"/>
          <w:sz w:val="20"/>
          <w:szCs w:val="20"/>
        </w:rPr>
        <w:t xml:space="preserve">Finalité : ce document sert à la fois de référence humaine et de base pour générer les prompts de développement du site (vibe coding). Les décisions y sont donc formulées de façon non ambiguë au niveau implémentation.</w:t>
      </w:r>
    </w:p>
    <w:p>
      <w:pPr>
        <w:pStyle w:val="Heading1"/>
      </w:pPr>
      <w:r>
        <w:t xml:space="preserve">1. Objectif</w:t>
      </w:r>
    </w:p>
    <w:p>
      <w:pPr>
        <w:spacing w:after="120" w:line="276"/>
      </w:pPr>
      <w:r>
        <w:t xml:space="preserve">Créer un site e-commerce permettant aux clients de commander en ligne et de retirer leurs achats en boutique (ou lors d’opérations de drive), tout en mettant en valeur la boutique et ses produits.</w:t>
      </w:r>
    </w:p>
    <w:p>
      <w:pPr>
        <w:pStyle w:val="Heading1"/>
      </w:pPr>
      <w:r>
        <w:t xml:space="preserve">2. Principes d’architecture</w:t>
      </w:r>
    </w:p>
    <w:p>
      <w:pPr>
        <w:pStyle w:val="ListParagraph"/>
        <w:numPr>
          <w:ilvl w:val="0"/>
          <w:numId w:val="2"/>
        </w:numPr>
        <w:spacing w:after="40" w:line="276"/>
      </w:pPr>
      <w:r>
        <w:t xml:space="preserve">Au lancement, le site est autonome : il fait autorité sur son catalogue, ses prix, ses commandes et ses avoirs (propriété temporaire, à rediscuter à l’intégration de la caisse).</w:t>
      </w:r>
    </w:p>
    <w:p>
      <w:pPr>
        <w:pStyle w:val="ListParagraph"/>
        <w:numPr>
          <w:ilvl w:val="0"/>
          <w:numId w:val="2"/>
        </w:numPr>
        <w:spacing w:after="40" w:line="276"/>
      </w:pPr>
      <w:r>
        <w:t xml:space="preserve">Le système est conçu « caisse-ready » : même modèle métier et accès aux données derrière des interfaces (ports/adaptateurs), pour intégrer la caisse plus tard sans réécriture. Qui sera maître à terme dépendra des capacités de l’API (indéterminé).</w:t>
      </w:r>
    </w:p>
    <w:p>
      <w:pPr>
        <w:pStyle w:val="ListParagraph"/>
        <w:numPr>
          <w:ilvl w:val="0"/>
          <w:numId w:val="2"/>
        </w:numPr>
        <w:spacing w:after="40" w:line="276"/>
      </w:pPr>
      <w:r>
        <w:t xml:space="preserve">La Gateway (interface d’accès aux données métier) pointe d’abord vers la base du site ; un adaptateur caisse pourra la remplacer sans toucher à la logique métier.</w:t>
      </w:r>
    </w:p>
    <w:p>
      <w:pPr>
        <w:pStyle w:val="ListParagraph"/>
        <w:numPr>
          <w:ilvl w:val="0"/>
          <w:numId w:val="2"/>
        </w:numPr>
        <w:spacing w:after="40" w:line="276"/>
      </w:pPr>
      <w:r>
        <w:t xml:space="preserve">Un champ de correspondance refCaisse (vide au lancement) est prévu sur produits, commandes, clients et avoirs pour la réconciliation future.</w:t>
      </w:r>
    </w:p>
    <w:p>
      <w:pPr>
        <w:pStyle w:val="ListParagraph"/>
        <w:numPr>
          <w:ilvl w:val="0"/>
          <w:numId w:val="2"/>
        </w:numPr>
        <w:spacing w:after="40" w:line="276"/>
      </w:pPr>
      <w:r>
        <w:t xml:space="preserve">Un back-office permet de gérer le catalogue (produits, catégories, prix, options) et de préparer les commandes (ADR-021).</w:t>
      </w:r>
    </w:p>
    <w:p>
      <w:pPr>
        <w:pStyle w:val="ListParagraph"/>
        <w:numPr>
          <w:ilvl w:val="0"/>
          <w:numId w:val="2"/>
        </w:numPr>
        <w:spacing w:after="40" w:line="276"/>
      </w:pPr>
      <w:r>
        <w:t xml:space="preserve">Le site gère l’expérience utilisateur, le marketing, le paiement et les intégrations. Le paiement est isolé derrière une abstraction ; prestataire PayPlug (ADR-018).</w:t>
      </w:r>
    </w:p>
    <w:p>
      <w:pPr>
        <w:pStyle w:val="ListParagraph"/>
        <w:numPr>
          <w:ilvl w:val="0"/>
          <w:numId w:val="2"/>
        </w:numPr>
        <w:spacing w:after="40" w:line="276"/>
      </w:pPr>
      <w:r>
        <w:t xml:space="preserve">Aucune gestion de stock automatique : la disponibilité est pilotée par les délais de commande par famille (§7 et §8).</w:t>
      </w:r>
    </w:p>
    <w:p>
      <w:pPr>
        <w:pStyle w:val="ListParagraph"/>
        <w:numPr>
          <w:ilvl w:val="0"/>
          <w:numId w:val="2"/>
        </w:numPr>
        <w:spacing w:after="40" w:line="276"/>
      </w:pPr>
      <w:r>
        <w:t xml:space="preserve">Le point de retrait est modélisé comme une entité à part entière ; une seule boutique au lancement, le modèle étant prêt pour plusieurs (§6).</w:t>
      </w:r>
    </w:p>
    <w:p>
      <w:pPr>
        <w:pStyle w:val="ListParagraph"/>
        <w:numPr>
          <w:ilvl w:val="0"/>
          <w:numId w:val="2"/>
        </w:numPr>
        <w:spacing w:after="40" w:line="276"/>
      </w:pPr>
      <w:r>
        <w:t xml:space="preserve">Mise en production en autonome, sans attendre la caisse (ADR-019 annulé).</w:t>
      </w:r>
    </w:p>
    <w:p>
      <w:pPr>
        <w:pStyle w:val="Heading1"/>
      </w:pPr>
      <w:r>
        <w:t xml:space="preserve">3. Responsabilités</w:t>
      </w:r>
    </w:p>
    <w:p>
      <w:pPr>
        <w:spacing w:after="120" w:line="276"/>
      </w:pPr>
      <w:r>
        <w:rPr>
          <w:b/>
          <w:bCs/>
        </w:rPr>
        <w:t xml:space="preserve">Le site (autorité au lancement) est responsable de :</w:t>
      </w:r>
    </w:p>
    <w:p>
      <w:pPr>
        <w:pStyle w:val="ListParagraph"/>
        <w:numPr>
          <w:ilvl w:val="0"/>
          <w:numId w:val="2"/>
        </w:numPr>
        <w:spacing w:after="40" w:line="276"/>
      </w:pPr>
      <w:r>
        <w:t xml:space="preserve">navigation et tunnel de commande</w:t>
      </w:r>
    </w:p>
    <w:p>
      <w:pPr>
        <w:pStyle w:val="ListParagraph"/>
        <w:numPr>
          <w:ilvl w:val="0"/>
          <w:numId w:val="2"/>
        </w:numPr>
        <w:spacing w:after="40" w:line="276"/>
      </w:pPr>
      <w:r>
        <w:t xml:space="preserve">catalogue, prix et promotions</w:t>
      </w:r>
    </w:p>
    <w:p>
      <w:pPr>
        <w:pStyle w:val="ListParagraph"/>
        <w:numPr>
          <w:ilvl w:val="0"/>
          <w:numId w:val="2"/>
        </w:numPr>
        <w:spacing w:after="40" w:line="276"/>
      </w:pPr>
      <w:r>
        <w:t xml:space="preserve">panier</w:t>
      </w:r>
    </w:p>
    <w:p>
      <w:pPr>
        <w:pStyle w:val="ListParagraph"/>
        <w:numPr>
          <w:ilvl w:val="0"/>
          <w:numId w:val="2"/>
        </w:numPr>
        <w:spacing w:after="40" w:line="276"/>
      </w:pPr>
      <w:r>
        <w:t xml:space="preserve">paiement</w:t>
      </w:r>
    </w:p>
    <w:p>
      <w:pPr>
        <w:pStyle w:val="ListParagraph"/>
        <w:numPr>
          <w:ilvl w:val="0"/>
          <w:numId w:val="2"/>
        </w:numPr>
        <w:spacing w:after="40" w:line="276"/>
      </w:pPr>
      <w:r>
        <w:t xml:space="preserve">comptes clients</w:t>
      </w:r>
    </w:p>
    <w:p>
      <w:pPr>
        <w:pStyle w:val="ListParagraph"/>
        <w:numPr>
          <w:ilvl w:val="0"/>
          <w:numId w:val="2"/>
        </w:numPr>
        <w:spacing w:after="40" w:line="276"/>
      </w:pPr>
      <w:r>
        <w:t xml:space="preserve">avoirs</w:t>
      </w:r>
    </w:p>
    <w:p>
      <w:pPr>
        <w:pStyle w:val="ListParagraph"/>
        <w:numPr>
          <w:ilvl w:val="0"/>
          <w:numId w:val="2"/>
        </w:numPr>
        <w:spacing w:after="40" w:line="276"/>
      </w:pPr>
      <w:r>
        <w:t xml:space="preserve">CMS, contenus, SEO et médias</w:t>
      </w:r>
    </w:p>
    <w:p>
      <w:pPr>
        <w:pStyle w:val="ListParagraph"/>
        <w:numPr>
          <w:ilvl w:val="0"/>
          <w:numId w:val="2"/>
        </w:numPr>
        <w:spacing w:after="40" w:line="276"/>
      </w:pPr>
      <w:r>
        <w:t xml:space="preserve">back-office (gestion du catalogue + préparation des commandes)</w:t>
      </w:r>
    </w:p>
    <w:p>
      <w:pPr>
        <w:pStyle w:val="ListParagraph"/>
        <w:numPr>
          <w:ilvl w:val="0"/>
          <w:numId w:val="2"/>
        </w:numPr>
        <w:spacing w:after="40" w:line="276"/>
      </w:pPr>
      <w:r>
        <w:t xml:space="preserve">intégrations (paiement, e-mails)</w:t>
      </w:r>
    </w:p>
    <w:p>
      <w:pPr>
        <w:spacing w:after="120" w:line="276"/>
      </w:pPr>
      <w:r>
        <w:rPr>
          <w:b/>
          <w:bCs/>
        </w:rPr>
        <w:t xml:space="preserve">La caisse (à l’intégration future) :</w:t>
      </w:r>
    </w:p>
    <w:p>
      <w:pPr>
        <w:spacing w:after="120" w:line="276"/>
      </w:pPr>
      <w:r>
        <w:t xml:space="preserve">selon les capacités de l’API, elle pourra reprendre la main sur le catalogue, les prix et les commandes de production, ou simplement se synchroniser avec le site. Cible à déterminer.</w:t>
      </w:r>
    </w:p>
    <w:p>
      <w:pPr>
        <w:spacing w:after="120" w:line="276"/>
      </w:pPr>
      <w:r>
        <w:rPr>
          <w:i/>
          <w:iCs/>
        </w:rPr>
        <w:t xml:space="preserve">La répartition détaillée figure en Annexe A — Cartographie des responsabilités.</w:t>
      </w:r>
    </w:p>
    <w:p>
      <w:pPr>
        <w:pStyle w:val="Heading1"/>
      </w:pPr>
      <w:r>
        <w:t xml:space="preserve">4. Catalogue</w:t>
      </w:r>
    </w:p>
    <w:p>
      <w:pPr>
        <w:spacing w:after="120" w:line="276"/>
      </w:pPr>
      <w:r>
        <w:t xml:space="preserve">Le modèle fonctionnel distingue :</w:t>
      </w:r>
    </w:p>
    <w:p>
      <w:pPr>
        <w:pStyle w:val="ListParagraph"/>
        <w:numPr>
          <w:ilvl w:val="0"/>
          <w:numId w:val="2"/>
        </w:numPr>
        <w:spacing w:after="40" w:line="276"/>
      </w:pPr>
      <w:r>
        <w:t xml:space="preserve">Produit</w:t>
      </w:r>
    </w:p>
    <w:p>
      <w:pPr>
        <w:pStyle w:val="ListParagraph"/>
        <w:numPr>
          <w:ilvl w:val="0"/>
          <w:numId w:val="2"/>
        </w:numPr>
        <w:spacing w:after="40" w:line="276"/>
      </w:pPr>
      <w:r>
        <w:t xml:space="preserve">Déclinaison</w:t>
      </w:r>
    </w:p>
    <w:p>
      <w:pPr>
        <w:pStyle w:val="ListParagraph"/>
        <w:numPr>
          <w:ilvl w:val="0"/>
          <w:numId w:val="2"/>
        </w:numPr>
        <w:spacing w:after="40" w:line="276"/>
      </w:pPr>
      <w:r>
        <w:t xml:space="preserve">Option</w:t>
      </w:r>
    </w:p>
    <w:p>
      <w:pPr>
        <w:pStyle w:val="ListParagraph"/>
        <w:numPr>
          <w:ilvl w:val="0"/>
          <w:numId w:val="2"/>
        </w:numPr>
        <w:spacing w:after="40" w:line="276"/>
      </w:pPr>
      <w:r>
        <w:t xml:space="preserve">Formule</w:t>
      </w:r>
    </w:p>
    <w:p>
      <w:pPr>
        <w:pStyle w:val="ListParagraph"/>
        <w:numPr>
          <w:ilvl w:val="0"/>
          <w:numId w:val="2"/>
        </w:numPr>
        <w:spacing w:after="40" w:line="276"/>
      </w:pPr>
      <w:r>
        <w:t xml:space="preserve">Groupe de choix</w:t>
      </w:r>
    </w:p>
    <w:p>
      <w:pPr>
        <w:spacing w:after="120" w:line="276"/>
      </w:pPr>
      <w:r>
        <w:t xml:space="preserve">Ces concepts sont gérés par le site via le back-office au lancement (le catalogue n’est plus alimenté par la caisse). Le modèle conserve ces concepts tels quels pour mapper la caisse à l’intégration future (champ refCaisse).</w:t>
      </w:r>
    </w:p>
    <w:p>
      <w:pPr>
        <w:pStyle w:val="Heading1"/>
      </w:pPr>
      <w:r>
        <w:t xml:space="preserve">5. Parcours client</w:t>
      </w:r>
    </w:p>
    <w:p>
      <w:pPr>
        <w:spacing w:after="120" w:line="276"/>
      </w:pPr>
      <w:r>
        <w:rPr>
          <w:b/>
          <w:bCs/>
        </w:rPr>
        <w:t xml:space="preserve">Deux modes de navigation coexistent :</w:t>
      </w:r>
    </w:p>
    <w:p>
      <w:pPr>
        <w:pStyle w:val="ListParagraph"/>
        <w:numPr>
          <w:ilvl w:val="0"/>
          <w:numId w:val="2"/>
        </w:numPr>
        <w:spacing w:after="40" w:line="276"/>
      </w:pPr>
      <w:r>
        <w:t xml:space="preserve">Mode vitrine : consultation libre du catalogue sans choisir de créneau. Les informations (dont les prix) sont indicatives ; l’ajout au panier n’est pas encore possible.</w:t>
      </w:r>
    </w:p>
    <w:p>
      <w:pPr>
        <w:pStyle w:val="ListParagraph"/>
        <w:numPr>
          <w:ilvl w:val="0"/>
          <w:numId w:val="2"/>
        </w:numPr>
        <w:spacing w:after="40" w:line="276"/>
      </w:pPr>
      <w:r>
        <w:t xml:space="preserve">Mode commande : dès l’ajout au panier, le client choisit une date et un créneau de retrait, et le catalogue se filtre selon les produits commandables.</w:t>
      </w:r>
    </w:p>
    <w:p>
      <w:pPr>
        <w:spacing w:after="120" w:line="276"/>
      </w:pPr>
      <w:r>
        <w:rPr>
          <w:b/>
          <w:bCs/>
        </w:rPr>
        <w:t xml:space="preserve">Parcours de commande retenu :</w:t>
      </w:r>
    </w:p>
    <w:p>
      <w:pPr>
        <w:spacing w:after="30" w:line="264"/>
        <w:ind w:left="360"/>
      </w:pPr>
      <w:r>
        <w:t xml:space="preserve">Accueil</w:t>
      </w:r>
    </w:p>
    <w:p>
      <w:pPr>
        <w:spacing w:after="30" w:line="264"/>
        <w:ind w:left="360"/>
      </w:pPr>
      <w:r>
        <w:t xml:space="preserve">→ Consultation libre (mode vitrine, sans créneau)</w:t>
      </w:r>
    </w:p>
    <w:p>
      <w:pPr>
        <w:spacing w:after="30" w:line="264"/>
        <w:ind w:left="360"/>
      </w:pPr>
      <w:r>
        <w:t xml:space="preserve">→ Choix de la date et du créneau de retrait</w:t>
      </w:r>
    </w:p>
    <w:p>
      <w:pPr>
        <w:spacing w:after="30" w:line="264"/>
        <w:ind w:left="360"/>
      </w:pPr>
      <w:r>
        <w:t xml:space="preserve">→ Catalogue filtré selon les produits commandables</w:t>
      </w:r>
    </w:p>
    <w:p>
      <w:pPr>
        <w:spacing w:after="30" w:line="264"/>
        <w:ind w:left="360"/>
      </w:pPr>
      <w:r>
        <w:t xml:space="preserve">→ Panier</w:t>
      </w:r>
    </w:p>
    <w:p>
      <w:pPr>
        <w:spacing w:after="30" w:line="264"/>
        <w:ind w:left="360"/>
      </w:pPr>
      <w:r>
        <w:t xml:space="preserve">→ Identification (invité ou compte, voir §10)</w:t>
      </w:r>
    </w:p>
    <w:p>
      <w:pPr>
        <w:spacing w:after="30" w:line="264"/>
        <w:ind w:left="360"/>
      </w:pPr>
      <w:r>
        <w:t xml:space="preserve">→ Paiement (obligatoire, intégral)</w:t>
      </w:r>
    </w:p>
    <w:p>
      <w:pPr>
        <w:spacing w:after="30" w:line="264"/>
        <w:ind w:left="360"/>
      </w:pPr>
      <w:r>
        <w:t xml:space="preserve">→ Confirmation</w:t>
      </w:r>
    </w:p>
    <w:p>
      <w:pPr>
        <w:spacing w:after="30" w:line="264"/>
        <w:ind w:left="360"/>
      </w:pPr>
      <w:r>
        <w:t xml:space="preserve">→ Rappel le jour du retrait</w:t>
      </w:r>
    </w:p>
    <w:p>
      <w:pPr>
        <w:spacing w:after="30" w:line="264"/>
        <w:ind w:left="360"/>
      </w:pPr>
      <w:r>
        <w:t xml:space="preserve">→ Retrait au point de retrait</w:t>
      </w:r>
    </w:p>
    <w:p>
      <w:pPr>
        <w:spacing w:after="120" w:line="276"/>
      </w:pPr>
      <w:r>
        <w:rPr>
          <w:b/>
          <w:bCs/>
        </w:rPr>
        <w:t xml:space="preserve">Principes retenus :</w:t>
      </w:r>
    </w:p>
    <w:p>
      <w:pPr>
        <w:pStyle w:val="ListParagraph"/>
        <w:numPr>
          <w:ilvl w:val="0"/>
          <w:numId w:val="2"/>
        </w:numPr>
        <w:spacing w:after="40" w:line="276"/>
      </w:pPr>
      <w:r>
        <w:t xml:space="preserve">la consultation reste possible sans créneau ;</w:t>
      </w:r>
    </w:p>
    <w:p>
      <w:pPr>
        <w:pStyle w:val="ListParagraph"/>
        <w:numPr>
          <w:ilvl w:val="0"/>
          <w:numId w:val="2"/>
        </w:numPr>
        <w:spacing w:after="40" w:line="276"/>
      </w:pPr>
      <w:r>
        <w:t xml:space="preserve">le choix du créneau est demandé au moment d’ajouter au panier ;</w:t>
      </w:r>
    </w:p>
    <w:p>
      <w:pPr>
        <w:pStyle w:val="ListParagraph"/>
        <w:numPr>
          <w:ilvl w:val="0"/>
          <w:numId w:val="2"/>
        </w:numPr>
        <w:spacing w:after="40" w:line="276"/>
      </w:pPr>
      <w:r>
        <w:t xml:space="preserve">au lancement, le point de retrait est unique et pré-sélectionné (pas de choix de lieu dans le tunnel) ;</w:t>
      </w:r>
    </w:p>
    <w:p>
      <w:pPr>
        <w:pStyle w:val="ListParagraph"/>
        <w:numPr>
          <w:ilvl w:val="0"/>
          <w:numId w:val="2"/>
        </w:numPr>
        <w:spacing w:after="40" w:line="276"/>
      </w:pPr>
      <w:r>
        <w:t xml:space="preserve">seuls les produits commandables pour le créneau choisi sont proposés à la commande ;</w:t>
      </w:r>
    </w:p>
    <w:p>
      <w:pPr>
        <w:pStyle w:val="ListParagraph"/>
        <w:numPr>
          <w:ilvl w:val="0"/>
          <w:numId w:val="2"/>
        </w:numPr>
        <w:spacing w:after="40" w:line="276"/>
      </w:pPr>
      <w:r>
        <w:t xml:space="preserve">ajout au panier sans quitter le catalogue ; panier persistant ; favoris et historique prévus dès la V1.</w:t>
      </w:r>
    </w:p>
    <w:p>
      <w:pPr>
        <w:pStyle w:val="Heading1"/>
      </w:pPr>
      <w:r>
        <w:t xml:space="preserve">6. Points de retrait et créneaux</w:t>
      </w:r>
    </w:p>
    <w:p>
      <w:pPr>
        <w:spacing w:after="120" w:line="276"/>
      </w:pPr>
      <w:r>
        <w:rPr>
          <w:b/>
          <w:bCs/>
        </w:rPr>
        <w:t xml:space="preserve">Point de retrait. </w:t>
      </w:r>
      <w:r>
        <w:t xml:space="preserve">Entité à part entière, porteuse de ses horaires d’ouverture et de ses créneaux. Le créneau, les horaires et la commande sont rattachés à un point de retrait. Au lancement, il existe un seul point de retrait, pré-sélectionné ; l’étape « choix du point de retrait » pourra être ajoutée ultérieurement sans réécriture du modèle.</w:t>
      </w:r>
    </w:p>
    <w:p>
      <w:pPr>
        <w:spacing w:after="120" w:line="276"/>
      </w:pPr>
      <w:r>
        <w:rPr>
          <w:b/>
          <w:bCs/>
        </w:rPr>
        <w:t xml:space="preserve">Créneau. </w:t>
      </w:r>
      <w:r>
        <w:t xml:space="preserve">Fenêtre horaire fixe de 30 minutes par défaut (durée paramétrable), positionnée à l’intérieur des horaires d’ouverture du point de retrait. Sa donnée pivot est son heure de début </w:t>
      </w:r>
      <w:r>
        <w:rPr>
          <w:rFonts w:ascii="Consolas" w:cs="Consolas" w:eastAsia="Consolas" w:hAnsi="Consolas"/>
          <w:color w:val="1A4D2E"/>
          <w:sz w:val="20"/>
          <w:szCs w:val="20"/>
        </w:rPr>
        <w:t xml:space="preserve">T</w:t>
      </w:r>
      <w:r>
        <w:t xml:space="preserve">. Un créneau ne plafonne aucune quantité (pas de gestion de stock automatique) : il sert uniquement à organiser l’heure de retrait et à ancrer le calcul des délais de commande.</w:t>
      </w:r>
    </w:p>
    <w:p>
      <w:pPr>
        <w:pStyle w:val="Heading1"/>
      </w:pPr>
      <w:r>
        <w:t xml:space="preserve">7. Disponibilités</w:t>
      </w:r>
    </w:p>
    <w:p>
      <w:pPr>
        <w:spacing w:after="120" w:line="276"/>
      </w:pPr>
      <w:r>
        <w:t xml:space="preserve">Le client choisit toujours une date et un créneau de retrait. La disponibilité d’un produit pour un créneau donné ne dépend pas d’un nombre d’unités restantes, mais uniquement du respect de l’heure limite de commande définie par la politique de commande de sa famille (§8).</w:t>
      </w:r>
    </w:p>
    <w:p>
      <w:pPr>
        <w:pStyle w:val="ListParagraph"/>
        <w:numPr>
          <w:ilvl w:val="0"/>
          <w:numId w:val="2"/>
        </w:numPr>
        <w:spacing w:after="40" w:line="276"/>
      </w:pPr>
      <w:r>
        <w:rPr>
          <w:b/>
          <w:bCs/>
        </w:rPr>
        <w:t xml:space="preserve">Règle par famille : </w:t>
      </w:r>
      <w:r>
        <w:rPr>
          <w:rFonts w:ascii="Consolas" w:cs="Consolas" w:eastAsia="Consolas" w:hAnsi="Consolas"/>
          <w:color w:val="1A4D2E"/>
          <w:sz w:val="20"/>
          <w:szCs w:val="20"/>
        </w:rPr>
        <w:t xml:space="preserve">commandable(famille, T, maintenant) ⇔ maintenant ≤ deadline(famille, T)</w:t>
      </w:r>
    </w:p>
    <w:p>
      <w:pPr>
        <w:pStyle w:val="ListParagraph"/>
        <w:numPr>
          <w:ilvl w:val="0"/>
          <w:numId w:val="2"/>
        </w:numPr>
        <w:spacing w:after="40" w:line="276"/>
      </w:pPr>
      <w:r>
        <w:rPr>
          <w:b/>
          <w:bCs/>
        </w:rPr>
        <w:t xml:space="preserve">Règle du panier (mixte) : </w:t>
      </w:r>
      <w:r>
        <w:rPr>
          <w:rFonts w:ascii="Consolas" w:cs="Consolas" w:eastAsia="Consolas" w:hAnsi="Consolas"/>
          <w:color w:val="1A4D2E"/>
          <w:sz w:val="20"/>
          <w:szCs w:val="20"/>
        </w:rPr>
        <w:t xml:space="preserve">T sélectionnable ⇔ pour CHAQUE famille du panier, commandable(famille, T, maintenant)</w:t>
      </w:r>
    </w:p>
    <w:p>
      <w:pPr>
        <w:spacing w:after="120" w:line="276"/>
      </w:pPr>
      <w:r>
        <w:t xml:space="preserve">Conséquences : (a) un seul retrait, un seul créneau, même pour un panier mêlant plusieurs familles ; (b) la famille la plus contraignante fixe le premier créneau proposable — par exemple, avec du pain au panier, aucun retrait le jour même n’est possible même s’il y a de la pâtisserie ; (c) le catalogue commandable évolue au fil du temps, le calcul de disponibilité doit donc être réévalué en continu.</w:t>
      </w:r>
    </w:p>
    <w:p>
      <w:pPr>
        <w:spacing w:after="120" w:line="276"/>
      </w:pPr>
      <w:r>
        <w:rPr>
          <w:b/>
          <w:bCs/>
        </w:rPr>
        <w:t xml:space="preserve">Répartition des rôles : </w:t>
      </w:r>
      <w:r>
        <w:t xml:space="preserve">le site porte les délais par famille (politique de commande, paramétrés en back-office) et applique le calcul de disponibilité ci-dessus (voir §8 et Annexe A).</w:t>
      </w:r>
    </w:p>
    <w:p>
      <w:pPr>
        <w:pStyle w:val="Heading1"/>
      </w:pPr>
      <w:r>
        <w:t xml:space="preserve">8. Politique de commande</w:t>
      </w:r>
    </w:p>
    <w:p>
      <w:pPr>
        <w:spacing w:after="120" w:line="276"/>
      </w:pPr>
      <w:r>
        <w:t xml:space="preserve">La politique de commande est différenciée par famille de produits. Elle définit, pour chaque famille, l’horizon de retrait et l’heure limite de commande. Elle est le seul mécanisme qui pilote la disponibilité (§7).</w:t>
      </w:r>
    </w:p>
    <w:p>
      <w:pPr>
        <w:spacing w:after="120" w:line="276"/>
      </w:pPr>
      <w:r>
        <w:rPr>
          <w:b/>
          <w:bCs/>
        </w:rPr>
        <w:t xml:space="preserve">Source des délais : </w:t>
      </w:r>
      <w:r>
        <w:t xml:space="preserve">les heures limites sont paramétrées côté site (back-office). Elles pourront être alignées sur la caisse à l’intégration future si son API les expose.</w:t>
      </w:r>
    </w:p>
    <w:p>
      <w:pPr>
        <w:spacing w:after="120" w:line="276"/>
      </w:pPr>
      <w:r>
        <w:rPr>
          <w:b/>
          <w:bCs/>
        </w:rPr>
        <w:t xml:space="preserve">Valeurs de référence (illustratives) :</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100"/>
        <w:gridCol w:w="3500"/>
      </w:tblGrid>
      <w:tr>
        <w:trPr>
          <w:tblHeader/>
        </w:trPr>
        <w:tc>
          <w:tcPr>
            <w:tcW w:type="dxa" w:w="2400"/>
            <w:shd w:fill="1F3864" w:color="auto" w:val="clear"/>
            <w:tcMar>
              <w:top w:type="dxa" w:w="60"/>
              <w:left w:type="dxa" w:w="100"/>
              <w:bottom w:type="dxa" w:w="60"/>
              <w:right w:type="dxa" w:w="100"/>
            </w:tcMar>
          </w:tcPr>
          <w:p>
            <w:r>
              <w:rPr>
                <w:b/>
                <w:bCs/>
                <w:color w:val="FFFFFF"/>
                <w:sz w:val="20"/>
                <w:szCs w:val="20"/>
              </w:rPr>
              <w:t xml:space="preserve">Famille</w:t>
            </w:r>
          </w:p>
        </w:tc>
        <w:tc>
          <w:tcPr>
            <w:tcW w:type="dxa" w:w="3100"/>
            <w:shd w:fill="1F3864" w:color="auto" w:val="clear"/>
            <w:tcMar>
              <w:top w:type="dxa" w:w="60"/>
              <w:left w:type="dxa" w:w="100"/>
              <w:bottom w:type="dxa" w:w="60"/>
              <w:right w:type="dxa" w:w="100"/>
            </w:tcMar>
          </w:tcPr>
          <w:p>
            <w:r>
              <w:rPr>
                <w:b/>
                <w:bCs/>
                <w:color w:val="FFFFFF"/>
                <w:sz w:val="20"/>
                <w:szCs w:val="20"/>
              </w:rPr>
              <w:t xml:space="preserve">Retrait possible</w:t>
            </w:r>
          </w:p>
        </w:tc>
        <w:tc>
          <w:tcPr>
            <w:tcW w:type="dxa" w:w="3500"/>
            <w:shd w:fill="1F3864" w:color="auto" w:val="clear"/>
            <w:tcMar>
              <w:top w:type="dxa" w:w="60"/>
              <w:left w:type="dxa" w:w="100"/>
              <w:bottom w:type="dxa" w:w="60"/>
              <w:right w:type="dxa" w:w="100"/>
            </w:tcMar>
          </w:tcPr>
          <w:p>
            <w:r>
              <w:rPr>
                <w:b/>
                <w:bCs/>
                <w:color w:val="FFFFFF"/>
                <w:sz w:val="20"/>
                <w:szCs w:val="20"/>
              </w:rPr>
              <w:t xml:space="preserve">Heure limite de commande</w:t>
            </w:r>
          </w:p>
        </w:tc>
      </w:tr>
      <w:tr>
        <w:tc>
          <w:tcPr>
            <w:tcW w:type="dxa" w:w="2400"/>
            <w:tcMar>
              <w:top w:type="dxa" w:w="50"/>
              <w:left w:type="dxa" w:w="100"/>
              <w:bottom w:type="dxa" w:w="50"/>
              <w:right w:type="dxa" w:w="100"/>
            </w:tcMar>
          </w:tcPr>
          <w:p>
            <w:r>
              <w:rPr>
                <w:b/>
                <w:bCs/>
                <w:sz w:val="20"/>
                <w:szCs w:val="20"/>
              </w:rPr>
              <w:t xml:space="preserve">Pain</w:t>
            </w:r>
          </w:p>
        </w:tc>
        <w:tc>
          <w:tcPr>
            <w:tcW w:type="dxa" w:w="3100"/>
            <w:tcMar>
              <w:top w:type="dxa" w:w="50"/>
              <w:left w:type="dxa" w:w="100"/>
              <w:bottom w:type="dxa" w:w="50"/>
              <w:right w:type="dxa" w:w="100"/>
            </w:tcMar>
          </w:tcPr>
          <w:p>
            <w:r>
              <w:rPr>
                <w:b w:val="false"/>
                <w:bCs w:val="false"/>
                <w:sz w:val="20"/>
                <w:szCs w:val="20"/>
              </w:rPr>
              <w:t xml:space="preserve">J+1</w:t>
            </w:r>
          </w:p>
        </w:tc>
        <w:tc>
          <w:tcPr>
            <w:tcW w:type="dxa" w:w="3500"/>
            <w:tcMar>
              <w:top w:type="dxa" w:w="50"/>
              <w:left w:type="dxa" w:w="100"/>
              <w:bottom w:type="dxa" w:w="50"/>
              <w:right w:type="dxa" w:w="100"/>
            </w:tcMar>
          </w:tcPr>
          <w:p>
            <w:r>
              <w:rPr>
                <w:b w:val="false"/>
                <w:bCs w:val="false"/>
                <w:sz w:val="20"/>
                <w:szCs w:val="20"/>
              </w:rPr>
              <w:t xml:space="preserve">Avant 10h la veille (J0)</w:t>
            </w:r>
          </w:p>
        </w:tc>
      </w:tr>
      <w:tr>
        <w:tc>
          <w:tcPr>
            <w:tcW w:type="dxa" w:w="2400"/>
            <w:shd w:fill="F2F4F8" w:color="auto" w:val="clear"/>
            <w:tcMar>
              <w:top w:type="dxa" w:w="50"/>
              <w:left w:type="dxa" w:w="100"/>
              <w:bottom w:type="dxa" w:w="50"/>
              <w:right w:type="dxa" w:w="100"/>
            </w:tcMar>
          </w:tcPr>
          <w:p>
            <w:r>
              <w:rPr>
                <w:b/>
                <w:bCs/>
                <w:sz w:val="20"/>
                <w:szCs w:val="20"/>
              </w:rPr>
              <w:t xml:space="preserve">Viennoiserie</w:t>
            </w:r>
          </w:p>
        </w:tc>
        <w:tc>
          <w:tcPr>
            <w:tcW w:type="dxa" w:w="3100"/>
            <w:shd w:fill="F2F4F8" w:color="auto" w:val="clear"/>
            <w:tcMar>
              <w:top w:type="dxa" w:w="50"/>
              <w:left w:type="dxa" w:w="100"/>
              <w:bottom w:type="dxa" w:w="50"/>
              <w:right w:type="dxa" w:w="100"/>
            </w:tcMar>
          </w:tcPr>
          <w:p>
            <w:r>
              <w:rPr>
                <w:b w:val="false"/>
                <w:bCs w:val="false"/>
                <w:sz w:val="20"/>
                <w:szCs w:val="20"/>
              </w:rPr>
              <w:t xml:space="preserve">J+1, dès l’ouverture (avant 9h)</w:t>
            </w:r>
          </w:p>
        </w:tc>
        <w:tc>
          <w:tcPr>
            <w:tcW w:type="dxa" w:w="3500"/>
            <w:shd w:fill="F2F4F8" w:color="auto" w:val="clear"/>
            <w:tcMar>
              <w:top w:type="dxa" w:w="50"/>
              <w:left w:type="dxa" w:w="100"/>
              <w:bottom w:type="dxa" w:w="50"/>
              <w:right w:type="dxa" w:w="100"/>
            </w:tcMar>
          </w:tcPr>
          <w:p>
            <w:r>
              <w:rPr>
                <w:b w:val="false"/>
                <w:bCs w:val="false"/>
                <w:sz w:val="20"/>
                <w:szCs w:val="20"/>
              </w:rPr>
              <w:t xml:space="preserve">Avant midi la veille (J0)</w:t>
            </w:r>
          </w:p>
        </w:tc>
      </w:tr>
      <w:tr>
        <w:tc>
          <w:tcPr>
            <w:tcW w:type="dxa" w:w="2400"/>
            <w:tcMar>
              <w:top w:type="dxa" w:w="50"/>
              <w:left w:type="dxa" w:w="100"/>
              <w:bottom w:type="dxa" w:w="50"/>
              <w:right w:type="dxa" w:w="100"/>
            </w:tcMar>
          </w:tcPr>
          <w:p>
            <w:r>
              <w:rPr>
                <w:b/>
                <w:bCs/>
                <w:sz w:val="20"/>
                <w:szCs w:val="20"/>
              </w:rPr>
              <w:t xml:space="preserve">Pâtisserie</w:t>
            </w:r>
          </w:p>
        </w:tc>
        <w:tc>
          <w:tcPr>
            <w:tcW w:type="dxa" w:w="3100"/>
            <w:tcMar>
              <w:top w:type="dxa" w:w="50"/>
              <w:left w:type="dxa" w:w="100"/>
              <w:bottom w:type="dxa" w:w="50"/>
              <w:right w:type="dxa" w:w="100"/>
            </w:tcMar>
          </w:tcPr>
          <w:p>
            <w:r>
              <w:rPr>
                <w:b w:val="false"/>
                <w:bCs w:val="false"/>
                <w:sz w:val="20"/>
                <w:szCs w:val="20"/>
              </w:rPr>
              <w:t xml:space="preserve">J+0 (jour même)</w:t>
            </w:r>
          </w:p>
        </w:tc>
        <w:tc>
          <w:tcPr>
            <w:tcW w:type="dxa" w:w="3500"/>
            <w:tcMar>
              <w:top w:type="dxa" w:w="50"/>
              <w:left w:type="dxa" w:w="100"/>
              <w:bottom w:type="dxa" w:w="50"/>
              <w:right w:type="dxa" w:w="100"/>
            </w:tcMar>
          </w:tcPr>
          <w:p>
            <w:r>
              <w:rPr>
                <w:b w:val="false"/>
                <w:bCs w:val="false"/>
                <w:sz w:val="20"/>
                <w:szCs w:val="20"/>
              </w:rPr>
              <w:t xml:space="preserve">Au moins 3h avant le créneau</w:t>
            </w:r>
          </w:p>
        </w:tc>
      </w:tr>
      <w:tr>
        <w:tc>
          <w:tcPr>
            <w:tcW w:type="dxa" w:w="2400"/>
            <w:shd w:fill="F2F4F8" w:color="auto" w:val="clear"/>
            <w:tcMar>
              <w:top w:type="dxa" w:w="50"/>
              <w:left w:type="dxa" w:w="100"/>
              <w:bottom w:type="dxa" w:w="50"/>
              <w:right w:type="dxa" w:w="100"/>
            </w:tcMar>
          </w:tcPr>
          <w:p>
            <w:r>
              <w:rPr>
                <w:b/>
                <w:bCs/>
                <w:sz w:val="20"/>
                <w:szCs w:val="20"/>
              </w:rPr>
              <w:t xml:space="preserve">Snacking</w:t>
            </w:r>
          </w:p>
        </w:tc>
        <w:tc>
          <w:tcPr>
            <w:tcW w:type="dxa" w:w="3100"/>
            <w:shd w:fill="F2F4F8" w:color="auto" w:val="clear"/>
            <w:tcMar>
              <w:top w:type="dxa" w:w="50"/>
              <w:left w:type="dxa" w:w="100"/>
              <w:bottom w:type="dxa" w:w="50"/>
              <w:right w:type="dxa" w:w="100"/>
            </w:tcMar>
          </w:tcPr>
          <w:p>
            <w:r>
              <w:rPr>
                <w:b w:val="false"/>
                <w:bCs w:val="false"/>
                <w:sz w:val="20"/>
                <w:szCs w:val="20"/>
              </w:rPr>
              <w:t xml:space="preserve">J+0 (jour même)</w:t>
            </w:r>
          </w:p>
        </w:tc>
        <w:tc>
          <w:tcPr>
            <w:tcW w:type="dxa" w:w="3500"/>
            <w:shd w:fill="F2F4F8" w:color="auto" w:val="clear"/>
            <w:tcMar>
              <w:top w:type="dxa" w:w="50"/>
              <w:left w:type="dxa" w:w="100"/>
              <w:bottom w:type="dxa" w:w="50"/>
              <w:right w:type="dxa" w:w="100"/>
            </w:tcMar>
          </w:tcPr>
          <w:p>
            <w:r>
              <w:rPr>
                <w:b w:val="false"/>
                <w:bCs w:val="false"/>
                <w:sz w:val="20"/>
                <w:szCs w:val="20"/>
              </w:rPr>
              <w:t xml:space="preserve">Au moins 3h avant le créneau</w:t>
            </w:r>
          </w:p>
        </w:tc>
      </w:tr>
    </w:tbl>
    <w:p>
      <w:pPr>
        <w:spacing w:after="100"/>
      </w:pPr>
    </w:p>
    <w:p>
      <w:pPr>
        <w:spacing w:after="120" w:line="276"/>
      </w:pPr>
      <w:r>
        <w:rPr>
          <w:b/>
          <w:bCs/>
        </w:rPr>
        <w:t xml:space="preserve">Lecture de l’exemple viennoiserie : </w:t>
      </w:r>
      <w:r>
        <w:t xml:space="preserve">pour un retrait le lendemain (J+1) dès l’ouverture, avant 9h, la commande doit être passée au plus tard la veille (J0) avant midi.</w:t>
      </w:r>
    </w:p>
    <w:p>
      <w:pPr>
        <w:spacing w:after="120" w:line="276"/>
      </w:pPr>
      <w:r>
        <w:rPr>
          <w:b/>
          <w:bCs/>
        </w:rPr>
        <w:t xml:space="preserve">Dérivation des deadlines (indicatif) : </w:t>
      </w:r>
      <w:r>
        <w:rPr>
          <w:rFonts w:ascii="Consolas" w:cs="Consolas" w:eastAsia="Consolas" w:hAnsi="Consolas"/>
          <w:color w:val="1A4D2E"/>
          <w:sz w:val="20"/>
          <w:szCs w:val="20"/>
        </w:rPr>
        <w:t xml:space="preserve">pain: 10h00 le (date(T) − 1j)</w:t>
      </w:r>
      <w:r>
        <w:t xml:space="preserve"> · </w:t>
      </w:r>
      <w:r>
        <w:rPr>
          <w:rFonts w:ascii="Consolas" w:cs="Consolas" w:eastAsia="Consolas" w:hAnsi="Consolas"/>
          <w:color w:val="1A4D2E"/>
          <w:sz w:val="20"/>
          <w:szCs w:val="20"/>
        </w:rPr>
        <w:t xml:space="preserve">viennoiserie (retrait avant 9h): 12h00 le (date(T) − 1j)</w:t>
      </w:r>
      <w:r>
        <w:t xml:space="preserve"> · </w:t>
      </w:r>
      <w:r>
        <w:rPr>
          <w:rFonts w:ascii="Consolas" w:cs="Consolas" w:eastAsia="Consolas" w:hAnsi="Consolas"/>
          <w:color w:val="1A4D2E"/>
          <w:sz w:val="20"/>
          <w:szCs w:val="20"/>
        </w:rPr>
        <w:t xml:space="preserve">pâtisserie / snacking: T − 3h</w:t>
      </w:r>
      <w:r>
        <w:t xml:space="preserve">.</w:t>
      </w:r>
    </w:p>
    <w:p>
      <w:pPr>
        <w:spacing w:after="120" w:line="276"/>
      </w:pPr>
      <w:r>
        <w:rPr>
          <w:b/>
          <w:bCs/>
          <w:color w:val="B00020"/>
        </w:rPr>
        <w:t xml:space="preserve">Point à confirmer : </w:t>
      </w:r>
      <w:r>
        <w:t xml:space="preserve">la règle viennoiserie ne couvre que le retrait avant 9h. Le comportement pour un retrait plus tard dans la journée reste à trancher (voir §15).</w:t>
      </w:r>
    </w:p>
    <w:p>
      <w:pPr>
        <w:pStyle w:val="Heading1"/>
      </w:pPr>
      <w:r>
        <w:t xml:space="preserve">9. Paiement, annulation et remboursement</w:t>
      </w:r>
    </w:p>
    <w:p>
      <w:pPr>
        <w:pStyle w:val="ListParagraph"/>
        <w:numPr>
          <w:ilvl w:val="0"/>
          <w:numId w:val="2"/>
        </w:numPr>
        <w:spacing w:after="40" w:line="276"/>
      </w:pPr>
      <w:r>
        <w:t xml:space="preserve">Paiement en ligne intégral et systématique à la commande : pas d’acompte, pas de paiement fractionné.</w:t>
      </w:r>
    </w:p>
    <w:p>
      <w:pPr>
        <w:pStyle w:val="ListParagraph"/>
        <w:numPr>
          <w:ilvl w:val="0"/>
          <w:numId w:val="2"/>
        </w:numPr>
        <w:spacing w:after="40" w:line="276"/>
      </w:pPr>
      <w:r>
        <w:rPr>
          <w:b/>
          <w:bCs/>
        </w:rPr>
        <w:t xml:space="preserve">Prestataire : PayPlug</w:t>
      </w:r>
      <w:r>
        <w:t xml:space="preserve"> — filiale du groupe BPCE et solution distribuée par la Banque Populaire (pas de prestataire externe supplémentaire). Français, PCI-DSS, conforme DSP2, support FR 7j/7. CB, Visa, Mastercard, Amex, Apple Pay ; remboursements via API.</w:t>
      </w:r>
    </w:p>
    <w:p>
      <w:pPr>
        <w:spacing w:after="120" w:line="276"/>
      </w:pPr>
      <w:r>
        <w:rPr>
          <w:b/>
          <w:bCs/>
        </w:rPr>
        <w:t xml:space="preserve">Barème d’annulation retenu :</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600"/>
        <w:gridCol w:w="5400"/>
      </w:tblGrid>
      <w:tr>
        <w:trPr>
          <w:tblHeader/>
        </w:trPr>
        <w:tc>
          <w:tcPr>
            <w:tcW w:type="dxa" w:w="3600"/>
            <w:shd w:fill="1F3864" w:color="auto" w:val="clear"/>
            <w:tcMar>
              <w:top w:type="dxa" w:w="60"/>
              <w:left w:type="dxa" w:w="100"/>
              <w:bottom w:type="dxa" w:w="60"/>
              <w:right w:type="dxa" w:w="100"/>
            </w:tcMar>
          </w:tcPr>
          <w:p>
            <w:r>
              <w:rPr>
                <w:b/>
                <w:bCs/>
                <w:color w:val="FFFFFF"/>
                <w:sz w:val="20"/>
                <w:szCs w:val="20"/>
              </w:rPr>
              <w:t xml:space="preserve">Délai avant le retrait</w:t>
            </w:r>
          </w:p>
        </w:tc>
        <w:tc>
          <w:tcPr>
            <w:tcW w:type="dxa" w:w="5400"/>
            <w:shd w:fill="1F3864" w:color="auto" w:val="clear"/>
            <w:tcMar>
              <w:top w:type="dxa" w:w="60"/>
              <w:left w:type="dxa" w:w="100"/>
              <w:bottom w:type="dxa" w:w="60"/>
              <w:right w:type="dxa" w:w="100"/>
            </w:tcMar>
          </w:tcPr>
          <w:p>
            <w:r>
              <w:rPr>
                <w:b/>
                <w:bCs/>
                <w:color w:val="FFFFFF"/>
                <w:sz w:val="20"/>
                <w:szCs w:val="20"/>
              </w:rPr>
              <w:t xml:space="preserve">Traitement de l’annulation</w:t>
            </w:r>
          </w:p>
        </w:tc>
      </w:tr>
      <w:tr>
        <w:tc>
          <w:tcPr>
            <w:tcW w:type="dxa" w:w="3600"/>
            <w:tcMar>
              <w:top w:type="dxa" w:w="50"/>
              <w:left w:type="dxa" w:w="100"/>
              <w:bottom w:type="dxa" w:w="50"/>
              <w:right w:type="dxa" w:w="100"/>
            </w:tcMar>
          </w:tcPr>
          <w:p>
            <w:r>
              <w:rPr>
                <w:b/>
                <w:bCs/>
                <w:sz w:val="20"/>
                <w:szCs w:val="20"/>
              </w:rPr>
              <w:t xml:space="preserve">Plus de 48 h</w:t>
            </w:r>
          </w:p>
        </w:tc>
        <w:tc>
          <w:tcPr>
            <w:tcW w:type="dxa" w:w="5400"/>
            <w:tcMar>
              <w:top w:type="dxa" w:w="50"/>
              <w:left w:type="dxa" w:w="100"/>
              <w:bottom w:type="dxa" w:w="50"/>
              <w:right w:type="dxa" w:w="100"/>
            </w:tcMar>
          </w:tcPr>
          <w:p>
            <w:r>
              <w:rPr>
                <w:b w:val="false"/>
                <w:bCs w:val="false"/>
                <w:sz w:val="20"/>
                <w:szCs w:val="20"/>
              </w:rPr>
              <w:t xml:space="preserve">Remboursement intégral ou avoir, au choix du client</w:t>
            </w:r>
          </w:p>
        </w:tc>
      </w:tr>
      <w:tr>
        <w:tc>
          <w:tcPr>
            <w:tcW w:type="dxa" w:w="3600"/>
            <w:shd w:fill="F2F4F8" w:color="auto" w:val="clear"/>
            <w:tcMar>
              <w:top w:type="dxa" w:w="50"/>
              <w:left w:type="dxa" w:w="100"/>
              <w:bottom w:type="dxa" w:w="50"/>
              <w:right w:type="dxa" w:w="100"/>
            </w:tcMar>
          </w:tcPr>
          <w:p>
            <w:r>
              <w:rPr>
                <w:b/>
                <w:bCs/>
                <w:sz w:val="20"/>
                <w:szCs w:val="20"/>
              </w:rPr>
              <w:t xml:space="preserve">Entre 24 h et 48 h</w:t>
            </w:r>
          </w:p>
        </w:tc>
        <w:tc>
          <w:tcPr>
            <w:tcW w:type="dxa" w:w="5400"/>
            <w:shd w:fill="F2F4F8" w:color="auto" w:val="clear"/>
            <w:tcMar>
              <w:top w:type="dxa" w:w="50"/>
              <w:left w:type="dxa" w:w="100"/>
              <w:bottom w:type="dxa" w:w="50"/>
              <w:right w:type="dxa" w:w="100"/>
            </w:tcMar>
          </w:tcPr>
          <w:p>
            <w:r>
              <w:rPr>
                <w:b w:val="false"/>
                <w:bCs w:val="false"/>
                <w:sz w:val="20"/>
                <w:szCs w:val="20"/>
              </w:rPr>
              <w:t xml:space="preserve">Avoir uniquement (pas de remboursement)</w:t>
            </w:r>
          </w:p>
        </w:tc>
      </w:tr>
      <w:tr>
        <w:tc>
          <w:tcPr>
            <w:tcW w:type="dxa" w:w="3600"/>
            <w:tcMar>
              <w:top w:type="dxa" w:w="50"/>
              <w:left w:type="dxa" w:w="100"/>
              <w:bottom w:type="dxa" w:w="50"/>
              <w:right w:type="dxa" w:w="100"/>
            </w:tcMar>
          </w:tcPr>
          <w:p>
            <w:r>
              <w:rPr>
                <w:b/>
                <w:bCs/>
                <w:sz w:val="20"/>
                <w:szCs w:val="20"/>
              </w:rPr>
              <w:t xml:space="preserve">Moins de 24 h</w:t>
            </w:r>
          </w:p>
        </w:tc>
        <w:tc>
          <w:tcPr>
            <w:tcW w:type="dxa" w:w="5400"/>
            <w:tcMar>
              <w:top w:type="dxa" w:w="50"/>
              <w:left w:type="dxa" w:w="100"/>
              <w:bottom w:type="dxa" w:w="50"/>
              <w:right w:type="dxa" w:w="100"/>
            </w:tcMar>
          </w:tcPr>
          <w:p>
            <w:r>
              <w:rPr>
                <w:b w:val="false"/>
                <w:bCs w:val="false"/>
                <w:sz w:val="20"/>
                <w:szCs w:val="20"/>
              </w:rPr>
              <w:t xml:space="preserve">Ni remboursement ni avoir (production engagée)</w:t>
            </w:r>
          </w:p>
        </w:tc>
      </w:tr>
      <w:tr>
        <w:tc>
          <w:tcPr>
            <w:tcW w:type="dxa" w:w="3600"/>
            <w:shd w:fill="F2F4F8" w:color="auto" w:val="clear"/>
            <w:tcMar>
              <w:top w:type="dxa" w:w="50"/>
              <w:left w:type="dxa" w:w="100"/>
              <w:bottom w:type="dxa" w:w="50"/>
              <w:right w:type="dxa" w:w="100"/>
            </w:tcMar>
          </w:tcPr>
          <w:p>
            <w:r>
              <w:rPr>
                <w:b/>
                <w:bCs/>
                <w:sz w:val="20"/>
                <w:szCs w:val="20"/>
              </w:rPr>
              <w:t xml:space="preserve">Non-retrait (no-show)</w:t>
            </w:r>
          </w:p>
        </w:tc>
        <w:tc>
          <w:tcPr>
            <w:tcW w:type="dxa" w:w="5400"/>
            <w:shd w:fill="F2F4F8" w:color="auto" w:val="clear"/>
            <w:tcMar>
              <w:top w:type="dxa" w:w="50"/>
              <w:left w:type="dxa" w:w="100"/>
              <w:bottom w:type="dxa" w:w="50"/>
              <w:right w:type="dxa" w:w="100"/>
            </w:tcMar>
          </w:tcPr>
          <w:p>
            <w:r>
              <w:rPr>
                <w:b w:val="false"/>
                <w:bCs w:val="false"/>
                <w:sz w:val="20"/>
                <w:szCs w:val="20"/>
              </w:rPr>
              <w:t xml:space="preserve">Aucun remboursement (produit périssable)</w:t>
            </w:r>
          </w:p>
        </w:tc>
      </w:tr>
    </w:tbl>
    <w:p>
      <w:pPr>
        <w:spacing w:after="100"/>
      </w:pPr>
    </w:p>
    <w:p>
      <w:pPr>
        <w:spacing w:after="120" w:line="276"/>
      </w:pPr>
      <w:r>
        <w:rPr>
          <w:b/>
          <w:bCs/>
        </w:rPr>
        <w:t xml:space="preserve">Modèle. </w:t>
      </w:r>
      <w:r>
        <w:t xml:space="preserve">PayPlug gère le remboursement CB ; l’avoir (crédit boutique) n’est pas géré par le prestataire : le site doit porter la notion d’avoir dans son propre modèle. L’intégration se fait via l’API PayPlug, isolée derrière une abstraction paiement (cf. Gateway).</w:t>
      </w:r>
    </w:p>
    <w:p>
      <w:pPr>
        <w:spacing w:after="120" w:line="276"/>
      </w:pPr>
      <w:r>
        <w:rPr>
          <w:b/>
          <w:bCs/>
        </w:rPr>
        <w:t xml:space="preserve">Note juridique. </w:t>
      </w:r>
      <w:r>
        <w:t xml:space="preserve">Les produits de boulangerie et de pâtisserie sont des denrées périssables, exclues du droit de rétractation par l’article L221-28, 4° du Code de la consommation. La maison n’est donc pas légalement tenue de rembourser une commande confectionnée ; le barème relève d’un geste commercial. </w:t>
      </w:r>
      <w:r>
        <w:rPr>
          <w:b/>
          <w:bCs/>
        </w:rPr>
        <w:t xml:space="preserve">Condition impérative : </w:t>
      </w:r>
      <w:r>
        <w:t xml:space="preserve">cette exclusion doit être clairement indiquée dans l’information précontractuelle (avant paiement) et dans les CGV, sinon le client conserve son droit de rétractation de 14 jours.</w:t>
      </w:r>
    </w:p>
    <w:p>
      <w:pPr>
        <w:spacing w:after="120" w:line="276"/>
      </w:pPr>
      <w:r>
        <w:t xml:space="preserve">Barème aligné sur les pratiques du secteur (Pierre Hermé : même échelle 48 h / 24-48 h / &lt; 24 h ; Cédric Grolet : limite d’annulation à 24 h avant le retrait).</w:t>
      </w:r>
    </w:p>
    <w:p>
      <w:pPr>
        <w:pStyle w:val="Heading1"/>
      </w:pPr>
      <w:r>
        <w:t xml:space="preserve">10. Comptes clients</w:t>
      </w:r>
    </w:p>
    <w:p>
      <w:pPr>
        <w:pStyle w:val="ListParagraph"/>
        <w:numPr>
          <w:ilvl w:val="0"/>
          <w:numId w:val="2"/>
        </w:numPr>
        <w:spacing w:after="40" w:line="276"/>
      </w:pPr>
      <w:r>
        <w:t xml:space="preserve">Commande possible en invité (e-mail + informations de retrait) ; la création de compte est optionnelle.</w:t>
      </w:r>
    </w:p>
    <w:p>
      <w:pPr>
        <w:pStyle w:val="ListParagraph"/>
        <w:numPr>
          <w:ilvl w:val="0"/>
          <w:numId w:val="2"/>
        </w:numPr>
        <w:spacing w:after="40" w:line="276"/>
      </w:pPr>
      <w:r>
        <w:t xml:space="preserve">La création de compte est proposée en fin de commande, en capitalisant sur les informations déjà saisies.</w:t>
      </w:r>
    </w:p>
    <w:p>
      <w:pPr>
        <w:pStyle w:val="ListParagraph"/>
        <w:numPr>
          <w:ilvl w:val="0"/>
          <w:numId w:val="2"/>
        </w:numPr>
        <w:spacing w:after="40" w:line="276"/>
      </w:pPr>
      <w:r>
        <w:t xml:space="preserve">Favoris et historique de commande sont prévus dès la V1 : un espace client connecté existe donc dès le lancement, mais reste facultatif.</w:t>
      </w:r>
    </w:p>
    <w:p>
      <w:pPr>
        <w:pStyle w:val="ListParagraph"/>
        <w:numPr>
          <w:ilvl w:val="0"/>
          <w:numId w:val="2"/>
        </w:numPr>
        <w:spacing w:after="40" w:line="276"/>
      </w:pPr>
      <w:r>
        <w:t xml:space="preserve">Une commande passée en invité doit pouvoir être rattachée à un compte créé ensuite avec le même e-mail.</w:t>
      </w:r>
    </w:p>
    <w:p>
      <w:pPr>
        <w:pStyle w:val="Heading1"/>
      </w:pPr>
      <w:r>
        <w:t xml:space="preserve">11. Communication client</w:t>
      </w:r>
    </w:p>
    <w:p>
      <w:pPr>
        <w:pStyle w:val="ListParagraph"/>
        <w:numPr>
          <w:ilvl w:val="0"/>
          <w:numId w:val="2"/>
        </w:numPr>
        <w:spacing w:after="40" w:line="276"/>
      </w:pPr>
      <w:r>
        <w:t xml:space="preserve">E-mail de confirmation envoyé après le paiement.</w:t>
      </w:r>
    </w:p>
    <w:p>
      <w:pPr>
        <w:pStyle w:val="ListParagraph"/>
        <w:numPr>
          <w:ilvl w:val="0"/>
          <w:numId w:val="2"/>
        </w:numPr>
        <w:spacing w:after="40" w:line="276"/>
      </w:pPr>
      <w:r>
        <w:t xml:space="preserve">E-mail de rappel de la commande envoyé le jour du retrait.</w:t>
      </w:r>
    </w:p>
    <w:p>
      <w:pPr>
        <w:pStyle w:val="ListParagraph"/>
        <w:numPr>
          <w:ilvl w:val="0"/>
          <w:numId w:val="2"/>
        </w:numPr>
        <w:spacing w:after="40" w:line="276"/>
      </w:pPr>
      <w:r>
        <w:t xml:space="preserve">Pas de notification « commande prête » au client : le créneau choisi vaut engagement. La préparation des commandes se fait via le back-office (liste de préparation pour la boutique).</w:t>
      </w:r>
    </w:p>
    <w:p>
      <w:pPr>
        <w:pStyle w:val="Heading1"/>
      </w:pPr>
      <w:r>
        <w:t xml:space="preserve">12. Glossaire métier</w:t>
      </w:r>
    </w:p>
    <w:p>
      <w:pPr>
        <w:spacing w:after="120" w:line="276"/>
      </w:pPr>
      <w:r>
        <w:t xml:space="preserve">Termes définis :</w:t>
      </w:r>
    </w:p>
    <w:p>
      <w:pPr>
        <w:pStyle w:val="ListParagraph"/>
        <w:numPr>
          <w:ilvl w:val="0"/>
          <w:numId w:val="2"/>
        </w:numPr>
        <w:spacing w:after="40" w:line="276"/>
      </w:pPr>
      <w:r>
        <w:t xml:space="preserve">Client</w:t>
      </w:r>
    </w:p>
    <w:p>
      <w:pPr>
        <w:pStyle w:val="ListParagraph"/>
        <w:numPr>
          <w:ilvl w:val="0"/>
          <w:numId w:val="2"/>
        </w:numPr>
        <w:spacing w:after="40" w:line="276"/>
      </w:pPr>
      <w:r>
        <w:t xml:space="preserve">Produit</w:t>
      </w:r>
    </w:p>
    <w:p>
      <w:pPr>
        <w:pStyle w:val="ListParagraph"/>
        <w:numPr>
          <w:ilvl w:val="0"/>
          <w:numId w:val="2"/>
        </w:numPr>
        <w:spacing w:after="40" w:line="276"/>
      </w:pPr>
      <w:r>
        <w:t xml:space="preserve">Déclinaison</w:t>
      </w:r>
    </w:p>
    <w:p>
      <w:pPr>
        <w:pStyle w:val="ListParagraph"/>
        <w:numPr>
          <w:ilvl w:val="0"/>
          <w:numId w:val="2"/>
        </w:numPr>
        <w:spacing w:after="40" w:line="276"/>
      </w:pPr>
      <w:r>
        <w:t xml:space="preserve">Option</w:t>
      </w:r>
    </w:p>
    <w:p>
      <w:pPr>
        <w:pStyle w:val="ListParagraph"/>
        <w:numPr>
          <w:ilvl w:val="0"/>
          <w:numId w:val="2"/>
        </w:numPr>
        <w:spacing w:after="40" w:line="276"/>
      </w:pPr>
      <w:r>
        <w:t xml:space="preserve">Formule</w:t>
      </w:r>
    </w:p>
    <w:p>
      <w:pPr>
        <w:pStyle w:val="ListParagraph"/>
        <w:numPr>
          <w:ilvl w:val="0"/>
          <w:numId w:val="2"/>
        </w:numPr>
        <w:spacing w:after="40" w:line="276"/>
      </w:pPr>
      <w:r>
        <w:t xml:space="preserve">Groupe de choix</w:t>
      </w:r>
    </w:p>
    <w:p>
      <w:pPr>
        <w:pStyle w:val="ListParagraph"/>
        <w:numPr>
          <w:ilvl w:val="0"/>
          <w:numId w:val="2"/>
        </w:numPr>
        <w:spacing w:after="40" w:line="276"/>
      </w:pPr>
      <w:r>
        <w:t xml:space="preserve">Ligne de panier</w:t>
      </w:r>
    </w:p>
    <w:p>
      <w:pPr>
        <w:pStyle w:val="ListParagraph"/>
        <w:numPr>
          <w:ilvl w:val="0"/>
          <w:numId w:val="2"/>
        </w:numPr>
        <w:spacing w:after="40" w:line="276"/>
      </w:pPr>
      <w:r>
        <w:t xml:space="preserve">Panier</w:t>
      </w:r>
    </w:p>
    <w:p>
      <w:pPr>
        <w:pStyle w:val="ListParagraph"/>
        <w:numPr>
          <w:ilvl w:val="0"/>
          <w:numId w:val="2"/>
        </w:numPr>
        <w:spacing w:after="40" w:line="276"/>
      </w:pPr>
      <w:r>
        <w:t xml:space="preserve">Commande</w:t>
      </w:r>
    </w:p>
    <w:p>
      <w:pPr>
        <w:pStyle w:val="ListParagraph"/>
        <w:numPr>
          <w:ilvl w:val="0"/>
          <w:numId w:val="2"/>
        </w:numPr>
        <w:spacing w:after="40" w:line="276"/>
      </w:pPr>
      <w:r>
        <w:t xml:space="preserve">Point de retrait</w:t>
      </w:r>
    </w:p>
    <w:p>
      <w:pPr>
        <w:pStyle w:val="ListParagraph"/>
        <w:numPr>
          <w:ilvl w:val="0"/>
          <w:numId w:val="2"/>
        </w:numPr>
        <w:spacing w:after="40" w:line="276"/>
      </w:pPr>
      <w:r>
        <w:t xml:space="preserve">Créneau</w:t>
      </w:r>
    </w:p>
    <w:p>
      <w:pPr>
        <w:pStyle w:val="ListParagraph"/>
        <w:numPr>
          <w:ilvl w:val="0"/>
          <w:numId w:val="2"/>
        </w:numPr>
        <w:spacing w:after="40" w:line="276"/>
      </w:pPr>
      <w:r>
        <w:t xml:space="preserve">Retrait</w:t>
      </w:r>
    </w:p>
    <w:p>
      <w:pPr>
        <w:pStyle w:val="ListParagraph"/>
        <w:numPr>
          <w:ilvl w:val="0"/>
          <w:numId w:val="2"/>
        </w:numPr>
        <w:spacing w:after="40" w:line="276"/>
      </w:pPr>
      <w:r>
        <w:t xml:space="preserve">Disponibilité</w:t>
      </w:r>
    </w:p>
    <w:p>
      <w:pPr>
        <w:pStyle w:val="ListParagraph"/>
        <w:numPr>
          <w:ilvl w:val="0"/>
          <w:numId w:val="2"/>
        </w:numPr>
        <w:spacing w:after="40" w:line="276"/>
      </w:pPr>
      <w:r>
        <w:t xml:space="preserve">Politique de commande</w:t>
      </w:r>
    </w:p>
    <w:p>
      <w:pPr>
        <w:pStyle w:val="ListParagraph"/>
        <w:numPr>
          <w:ilvl w:val="0"/>
          <w:numId w:val="2"/>
        </w:numPr>
        <w:spacing w:after="40" w:line="276"/>
      </w:pPr>
      <w:r>
        <w:t xml:space="preserve">Heure limite de commande</w:t>
      </w:r>
    </w:p>
    <w:p>
      <w:pPr>
        <w:pStyle w:val="ListParagraph"/>
        <w:numPr>
          <w:ilvl w:val="0"/>
          <w:numId w:val="2"/>
        </w:numPr>
        <w:spacing w:after="40" w:line="276"/>
      </w:pPr>
      <w:r>
        <w:t xml:space="preserve">Paiement</w:t>
      </w:r>
    </w:p>
    <w:p>
      <w:pPr>
        <w:pStyle w:val="ListParagraph"/>
        <w:numPr>
          <w:ilvl w:val="0"/>
          <w:numId w:val="2"/>
        </w:numPr>
        <w:spacing w:after="40" w:line="276"/>
      </w:pPr>
      <w:r>
        <w:t xml:space="preserve">Avoir</w:t>
      </w:r>
    </w:p>
    <w:p>
      <w:pPr>
        <w:pStyle w:val="ListParagraph"/>
        <w:numPr>
          <w:ilvl w:val="0"/>
          <w:numId w:val="2"/>
        </w:numPr>
        <w:spacing w:after="40" w:line="276"/>
      </w:pPr>
      <w:r>
        <w:t xml:space="preserve">Confirmation</w:t>
      </w:r>
    </w:p>
    <w:p>
      <w:pPr>
        <w:pStyle w:val="ListParagraph"/>
        <w:numPr>
          <w:ilvl w:val="0"/>
          <w:numId w:val="2"/>
        </w:numPr>
        <w:spacing w:after="40" w:line="276"/>
      </w:pPr>
      <w:r>
        <w:t xml:space="preserve">Rappel</w:t>
      </w:r>
    </w:p>
    <w:p>
      <w:pPr>
        <w:pStyle w:val="ListParagraph"/>
        <w:numPr>
          <w:ilvl w:val="0"/>
          <w:numId w:val="2"/>
        </w:numPr>
        <w:spacing w:after="40" w:line="276"/>
      </w:pPr>
      <w:r>
        <w:t xml:space="preserve">Espace client</w:t>
      </w:r>
    </w:p>
    <w:p>
      <w:pPr>
        <w:pStyle w:val="ListParagraph"/>
        <w:numPr>
          <w:ilvl w:val="0"/>
          <w:numId w:val="2"/>
        </w:numPr>
        <w:spacing w:after="40" w:line="276"/>
      </w:pPr>
      <w:r>
        <w:t xml:space="preserve">Back-office</w:t>
      </w:r>
    </w:p>
    <w:p>
      <w:pPr>
        <w:pStyle w:val="ListParagraph"/>
        <w:numPr>
          <w:ilvl w:val="0"/>
          <w:numId w:val="2"/>
        </w:numPr>
        <w:spacing w:after="40" w:line="276"/>
      </w:pPr>
      <w:r>
        <w:t xml:space="preserve">Caisse</w:t>
      </w:r>
    </w:p>
    <w:p>
      <w:pPr>
        <w:pStyle w:val="ListParagraph"/>
        <w:numPr>
          <w:ilvl w:val="0"/>
          <w:numId w:val="2"/>
        </w:numPr>
        <w:spacing w:after="40" w:line="276"/>
      </w:pPr>
      <w:r>
        <w:t xml:space="preserve">Connecteur (Gateway / adaptateur)</w:t>
      </w:r>
    </w:p>
    <w:p>
      <w:pPr>
        <w:pStyle w:val="ListParagraph"/>
        <w:numPr>
          <w:ilvl w:val="0"/>
          <w:numId w:val="2"/>
        </w:numPr>
        <w:spacing w:after="40" w:line="276"/>
      </w:pPr>
      <w:r>
        <w:t xml:space="preserve">refCaisse (correspondance)</w:t>
      </w:r>
    </w:p>
    <w:p>
      <w:pPr>
        <w:pStyle w:val="Heading1"/>
      </w:pPr>
      <w:r>
        <w:t xml:space="preserve">13. User Stories initiales</w:t>
      </w:r>
    </w:p>
    <w:p>
      <w:pPr>
        <w:pStyle w:val="ListParagraph"/>
        <w:numPr>
          <w:ilvl w:val="0"/>
          <w:numId w:val="2"/>
        </w:numPr>
        <w:spacing w:after="40" w:line="276"/>
      </w:pPr>
      <w:r>
        <w:t xml:space="preserve">US-001 : consulter le catalogue sans avoir choisi de créneau (mode vitrine).</w:t>
      </w:r>
    </w:p>
    <w:p>
      <w:pPr>
        <w:pStyle w:val="ListParagraph"/>
        <w:numPr>
          <w:ilvl w:val="0"/>
          <w:numId w:val="2"/>
        </w:numPr>
        <w:spacing w:after="40" w:line="276"/>
      </w:pPr>
      <w:r>
        <w:t xml:space="preserve">US-002 : choisir une date et un créneau au moment d’ajouter au panier.</w:t>
      </w:r>
    </w:p>
    <w:p>
      <w:pPr>
        <w:pStyle w:val="ListParagraph"/>
        <w:numPr>
          <w:ilvl w:val="0"/>
          <w:numId w:val="2"/>
        </w:numPr>
        <w:spacing w:after="40" w:line="276"/>
      </w:pPr>
      <w:r>
        <w:t xml:space="preserve">US-003 : voir uniquement les produits commandables pour le créneau choisi.</w:t>
      </w:r>
    </w:p>
    <w:p>
      <w:pPr>
        <w:pStyle w:val="ListParagraph"/>
        <w:numPr>
          <w:ilvl w:val="0"/>
          <w:numId w:val="2"/>
        </w:numPr>
        <w:spacing w:after="40" w:line="276"/>
      </w:pPr>
      <w:r>
        <w:t xml:space="preserve">US-004 : ajouter un produit sans quitter le catalogue.</w:t>
      </w:r>
    </w:p>
    <w:p>
      <w:pPr>
        <w:pStyle w:val="ListParagraph"/>
        <w:numPr>
          <w:ilvl w:val="0"/>
          <w:numId w:val="2"/>
        </w:numPr>
        <w:spacing w:after="40" w:line="276"/>
      </w:pPr>
      <w:r>
        <w:t xml:space="preserve">US-005 : modifier le panier.</w:t>
      </w:r>
    </w:p>
    <w:p>
      <w:pPr>
        <w:pStyle w:val="ListParagraph"/>
        <w:numPr>
          <w:ilvl w:val="0"/>
          <w:numId w:val="2"/>
        </w:numPr>
        <w:spacing w:after="40" w:line="276"/>
      </w:pPr>
      <w:r>
        <w:t xml:space="preserve">US-006 : commander en tant qu’invité, sans créer de compte.</w:t>
      </w:r>
    </w:p>
    <w:p>
      <w:pPr>
        <w:pStyle w:val="ListParagraph"/>
        <w:numPr>
          <w:ilvl w:val="0"/>
          <w:numId w:val="2"/>
        </w:numPr>
        <w:spacing w:after="40" w:line="276"/>
      </w:pPr>
      <w:r>
        <w:t xml:space="preserve">US-007 : créer un compte en fin de commande et retrouver mon historique.</w:t>
      </w:r>
    </w:p>
    <w:p>
      <w:pPr>
        <w:pStyle w:val="ListParagraph"/>
        <w:numPr>
          <w:ilvl w:val="0"/>
          <w:numId w:val="2"/>
        </w:numPr>
        <w:spacing w:after="40" w:line="276"/>
      </w:pPr>
      <w:r>
        <w:t xml:space="preserve">US-008 : enregistrer des favoris (compte connecté).</w:t>
      </w:r>
    </w:p>
    <w:p>
      <w:pPr>
        <w:pStyle w:val="ListParagraph"/>
        <w:numPr>
          <w:ilvl w:val="0"/>
          <w:numId w:val="2"/>
        </w:numPr>
        <w:spacing w:after="40" w:line="276"/>
      </w:pPr>
      <w:r>
        <w:t xml:space="preserve">US-009 : payer une commande valide (paiement obligatoire, intégral).</w:t>
      </w:r>
    </w:p>
    <w:p>
      <w:pPr>
        <w:pStyle w:val="ListParagraph"/>
        <w:numPr>
          <w:ilvl w:val="0"/>
          <w:numId w:val="2"/>
        </w:numPr>
        <w:spacing w:after="40" w:line="276"/>
      </w:pPr>
      <w:r>
        <w:t xml:space="preserve">US-010 : recevoir une confirmation après paiement.</w:t>
      </w:r>
    </w:p>
    <w:p>
      <w:pPr>
        <w:pStyle w:val="ListParagraph"/>
        <w:numPr>
          <w:ilvl w:val="0"/>
          <w:numId w:val="2"/>
        </w:numPr>
        <w:spacing w:after="40" w:line="276"/>
      </w:pPr>
      <w:r>
        <w:t xml:space="preserve">US-011 : recevoir un rappel le jour du retrait.</w:t>
      </w:r>
    </w:p>
    <w:p>
      <w:pPr>
        <w:pStyle w:val="ListParagraph"/>
        <w:numPr>
          <w:ilvl w:val="0"/>
          <w:numId w:val="2"/>
        </w:numPr>
        <w:spacing w:after="40" w:line="276"/>
      </w:pPr>
      <w:r>
        <w:t xml:space="preserve">US-012 : annuler une commande et être remboursé ou crédité selon le barème (§9).</w:t>
      </w:r>
    </w:p>
    <w:p>
      <w:pPr>
        <w:pStyle w:val="Heading1"/>
      </w:pPr>
      <w:r>
        <w:t xml:space="preserve">14. Décisions majeures (ADR)</w:t>
      </w:r>
    </w:p>
    <w:p>
      <w:pPr>
        <w:spacing w:after="120" w:line="276"/>
      </w:pPr>
      <w:r>
        <w:rPr>
          <w:b/>
          <w:bCs/>
        </w:rPr>
        <w:t xml:space="preserve">ADR-011 — Propriété du catalogue — temporairement au site. </w:t>
      </w:r>
      <w:r>
        <w:t xml:space="preserve">Au lancement, le site fait autorité sur le catalogue, créé et géré via le back-office. La propriété à terme (caisse maître ou simple synchronisation) sera tranchée à l’intégration, selon les capacités de l’API.</w:t>
      </w:r>
    </w:p>
    <w:p>
      <w:pPr>
        <w:spacing w:after="120" w:line="276"/>
      </w:pPr>
      <w:r>
        <w:rPr>
          <w:b/>
          <w:bCs/>
        </w:rPr>
        <w:t xml:space="preserve">ADR-012 — Disponibilité pilotée par la politique de commande. </w:t>
      </w:r>
      <w:r>
        <w:t xml:space="preserve">Il n’y a pas de gestion de stock automatique. La disponibilité résulte uniquement des heures limites de commande par famille, réévaluées en continu.</w:t>
      </w:r>
    </w:p>
    <w:p>
      <w:pPr>
        <w:spacing w:after="120" w:line="276"/>
      </w:pPr>
      <w:r>
        <w:rPr>
          <w:b/>
          <w:bCs/>
        </w:rPr>
        <w:t xml:space="preserve">ADR-013 — Paiement obligatoire et barème d’annulation. </w:t>
      </w:r>
      <w:r>
        <w:t xml:space="preserve">Le paiement en ligne est obligatoire ; l’annulation suit un barème à trois paliers (remboursement &gt; 48 h, avoir 24-48 h, rien &lt; 24 h), l’exclusion du droit de rétractation devant être mentionnée aux CGV.</w:t>
      </w:r>
    </w:p>
    <w:p>
      <w:pPr>
        <w:spacing w:after="120" w:line="276"/>
      </w:pPr>
      <w:r>
        <w:rPr>
          <w:b/>
          <w:bCs/>
        </w:rPr>
        <w:t xml:space="preserve">ADR-014 — Catalogue géré par le site (back-office). </w:t>
      </w:r>
      <w:r>
        <w:t xml:space="preserve">Le catalogue est créé et maintenu dans le back-office du site, qui en est la source au lancement. L’accès aux données reste derrière une interface (port) pour brancher un adaptateur caisse plus tard sans réécriture.</w:t>
      </w:r>
    </w:p>
    <w:p>
      <w:pPr>
        <w:spacing w:after="120" w:line="276"/>
      </w:pPr>
      <w:r>
        <w:rPr>
          <w:b/>
          <w:bCs/>
        </w:rPr>
        <w:t xml:space="preserve">ADR-015 — Créneaux fixes et panier mixte. </w:t>
      </w:r>
      <w:r>
        <w:t xml:space="preserve">Les créneaux sont des fenêtres fixes de 30 min par défaut. Un panier peut mêler plusieurs familles ; un créneau n’est proposé que s’il satisfait toutes les familles présentes, ce qui donne un retrait unique dicté par la famille la plus contraignante.</w:t>
      </w:r>
    </w:p>
    <w:p>
      <w:pPr>
        <w:spacing w:after="120" w:line="276"/>
      </w:pPr>
      <w:r>
        <w:rPr>
          <w:b/>
          <w:bCs/>
        </w:rPr>
        <w:t xml:space="preserve">ADR-016 — Commande invité et compte optionnel. </w:t>
      </w:r>
      <w:r>
        <w:t xml:space="preserve">La commande est possible en invité ; le compte est optionnel mais disponible dès la V1 (favoris, historique). Une commande invité peut être rattachée à un compte créé ensuite avec le même e-mail.</w:t>
      </w:r>
    </w:p>
    <w:p>
      <w:pPr>
        <w:spacing w:after="120" w:line="276"/>
      </w:pPr>
      <w:r>
        <w:rPr>
          <w:b/>
          <w:bCs/>
        </w:rPr>
        <w:t xml:space="preserve">ADR-017 — Point de retrait comme entité, mono-boutique au lancement. </w:t>
      </w:r>
      <w:r>
        <w:t xml:space="preserve">Le point de retrait est une entité à part entière (horaires, créneaux) ; une seule boutique au lancement, le modèle restant prêt pour plusieurs points de retrait.</w:t>
      </w:r>
    </w:p>
    <w:p>
      <w:pPr>
        <w:spacing w:after="120" w:line="276"/>
      </w:pPr>
      <w:r>
        <w:rPr>
          <w:b/>
          <w:bCs/>
        </w:rPr>
        <w:t xml:space="preserve">ADR-018 — Paiement intégral et prestataire PayPlug. </w:t>
      </w:r>
      <w:r>
        <w:t xml:space="preserve">Paiement intégral systématique (pas d’acompte). Prestataire PayPlug (groupe BPCE / Banque Populaire), afin de ne pas multiplier les prestataires. L’avoir est géré par le site ; l’intégration passe par une abstraction paiement.</w:t>
      </w:r>
    </w:p>
    <w:p>
      <w:pPr>
        <w:spacing w:after="120" w:line="276"/>
      </w:pPr>
      <w:r>
        <w:rPr>
          <w:b/>
          <w:bCs/>
        </w:rPr>
        <w:t xml:space="preserve">ADR-019 — Annulé — mise en production en autonome. </w:t>
      </w:r>
      <w:r>
        <w:t xml:space="preserve">Remplacé : la vente en ligne est mise en production sans attendre la caisse. (L’ancienne version conditionnait le go-live au raccordement caisse ; abandonnée faute de spécifications d’API dans des délais acceptables.)</w:t>
      </w:r>
    </w:p>
    <w:p>
      <w:pPr>
        <w:spacing w:after="120" w:line="276"/>
      </w:pPr>
      <w:r>
        <w:rPr>
          <w:b/>
          <w:bCs/>
        </w:rPr>
        <w:t xml:space="preserve">ADR-020 — Promotions côté site. </w:t>
      </w:r>
      <w:r>
        <w:t xml:space="preserve">Les promotions et leur affichage marketing sont gérés par le site, au-dessus du prix de référence (lui aussi géré par le site au lancement).</w:t>
      </w:r>
    </w:p>
    <w:p>
      <w:pPr>
        <w:spacing w:after="120" w:line="276"/>
      </w:pPr>
      <w:r>
        <w:rPr>
          <w:b/>
          <w:bCs/>
        </w:rPr>
        <w:t xml:space="preserve">ADR-021 — Site autonome, caisse-ready. </w:t>
      </w:r>
      <w:r>
        <w:t xml:space="preserve">Le site est développé autonome (catalogue, commandes, avoirs gérés par lui, avec un back-office) et conçu pour intégrer la caisse plus tard sans réécriture : même modèle métier, accès aux données par adaptateurs, champ refCaisse, chemin de synchronisation. La cible d’ownership à l’intégration est indéterminée (dépend de l’API).</w:t>
      </w:r>
    </w:p>
    <w:p>
      <w:pPr>
        <w:pStyle w:val="Heading1"/>
      </w:pPr>
      <w:r>
        <w:t xml:space="preserve">15. Questions ouvertes / à trancher</w:t>
      </w:r>
    </w:p>
    <w:p>
      <w:pPr>
        <w:pStyle w:val="ListParagraph"/>
        <w:numPr>
          <w:ilvl w:val="0"/>
          <w:numId w:val="2"/>
        </w:numPr>
        <w:spacing w:after="40" w:line="276"/>
      </w:pPr>
      <w:r>
        <w:t xml:space="preserve">Cible d’intégration caisse (maître ou simple synchronisation) — à trancher à la découverte de l’API.</w:t>
      </w:r>
    </w:p>
    <w:p>
      <w:pPr>
        <w:pStyle w:val="ListParagraph"/>
        <w:numPr>
          <w:ilvl w:val="0"/>
          <w:numId w:val="2"/>
        </w:numPr>
        <w:spacing w:after="40" w:line="276"/>
      </w:pPr>
      <w:r>
        <w:t xml:space="preserve">Viennoiserie : règle applicable à un retrait plus tard dans la journée (au-delà de 9h) ?</w:t>
      </w:r>
    </w:p>
    <w:p>
      <w:pPr>
        <w:pStyle w:val="ListParagraph"/>
        <w:numPr>
          <w:ilvl w:val="0"/>
          <w:numId w:val="2"/>
        </w:numPr>
        <w:spacing w:after="40" w:line="276"/>
      </w:pPr>
      <w:r>
        <w:t xml:space="preserve">Comportement exact du bouton « Ajouter au panier » sans créneau (proposition : ouverture du sélecteur de créneau) — à confirmer.</w:t>
      </w:r>
    </w:p>
    <w:p>
      <w:pPr>
        <w:pStyle w:val="ListParagraph"/>
        <w:numPr>
          <w:ilvl w:val="0"/>
          <w:numId w:val="2"/>
        </w:numPr>
        <w:spacing w:after="40" w:line="276"/>
      </w:pPr>
      <w:r>
        <w:t xml:space="preserve">Horaires d’ouverture, jours fériés et fermetures exceptionnelles : modalités de paramétrage.</w:t>
      </w:r>
    </w:p>
    <w:p>
      <w:pPr>
        <w:pStyle w:val="ListParagraph"/>
        <w:numPr>
          <w:ilvl w:val="0"/>
          <w:numId w:val="2"/>
        </w:numPr>
        <w:spacing w:after="40" w:line="276"/>
      </w:pPr>
      <w:r>
        <w:t xml:space="preserve">Durée de créneau si différente de 30 min ; règles de génération des créneaux.</w:t>
      </w:r>
    </w:p>
    <w:p>
      <w:pPr>
        <w:pStyle w:val="ListParagraph"/>
        <w:numPr>
          <w:ilvl w:val="0"/>
          <w:numId w:val="2"/>
        </w:numPr>
        <w:spacing w:after="40" w:line="276"/>
      </w:pPr>
      <w:r>
        <w:t xml:space="preserve">Rapprochement comptable des encaissements.</w:t>
      </w:r>
    </w:p>
    <w:p>
      <w:pPr>
        <w:pStyle w:val="ListParagraph"/>
        <w:numPr>
          <w:ilvl w:val="0"/>
          <w:numId w:val="2"/>
        </w:numPr>
        <w:spacing w:after="40" w:line="276"/>
      </w:pPr>
      <w:r>
        <w:t xml:space="preserve">Périmètre fonctionnel du back-office (rôles, droits, gestion des médias).</w:t>
      </w:r>
    </w:p>
    <w:p>
      <w:pPr>
        <w:pStyle w:val="ListParagraph"/>
        <w:numPr>
          <w:ilvl w:val="0"/>
          <w:numId w:val="2"/>
        </w:numPr>
        <w:spacing w:after="40" w:line="276"/>
      </w:pPr>
      <w:r>
        <w:t xml:space="preserve">Exigences non fonctionnelles : mobile-first, performance, accessibilité, périmètre SEO concret.</w:t>
      </w:r>
    </w:p>
    <w:p>
      <w:pPr>
        <w:pStyle w:val="Heading1"/>
      </w:pPr>
      <w:r>
        <w:t xml:space="preserve">16. Prochaines étapes</w:t>
      </w:r>
    </w:p>
    <w:p>
      <w:pPr>
        <w:pStyle w:val="ListParagraph"/>
        <w:numPr>
          <w:ilvl w:val="0"/>
          <w:numId w:val="2"/>
        </w:numPr>
        <w:spacing w:after="40" w:line="276"/>
      </w:pPr>
      <w:r>
        <w:t xml:space="preserve">Développer le MVP autonome : catalogue, tunnel de commande, paiement, retrait ; plus le back-office (catalogue + préparation des commandes).</w:t>
      </w:r>
    </w:p>
    <w:p>
      <w:pPr>
        <w:pStyle w:val="ListParagraph"/>
        <w:numPr>
          <w:ilvl w:val="0"/>
          <w:numId w:val="2"/>
        </w:numPr>
        <w:spacing w:after="40" w:line="276"/>
      </w:pPr>
      <w:r>
        <w:t xml:space="preserve">Mettre les accès aux données derrière des interfaces (ports) et prévoir le champ refCaisse partout.</w:t>
      </w:r>
    </w:p>
    <w:p>
      <w:pPr>
        <w:pStyle w:val="ListParagraph"/>
        <w:numPr>
          <w:ilvl w:val="0"/>
          <w:numId w:val="2"/>
        </w:numPr>
        <w:spacing w:after="40" w:line="276"/>
      </w:pPr>
      <w:r>
        <w:t xml:space="preserve">Formaliser la politique de commande comme moteur de règles paramétrable en back-office.</w:t>
      </w:r>
    </w:p>
    <w:p>
      <w:pPr>
        <w:pStyle w:val="ListParagraph"/>
        <w:numPr>
          <w:ilvl w:val="0"/>
          <w:numId w:val="2"/>
        </w:numPr>
        <w:spacing w:after="40" w:line="276"/>
      </w:pPr>
      <w:r>
        <w:t xml:space="preserve">Rédiger les CGV (dont la mention d’exclusion du droit de rétractation).</w:t>
      </w:r>
    </w:p>
    <w:p>
      <w:pPr>
        <w:pStyle w:val="ListParagraph"/>
        <w:numPr>
          <w:ilvl w:val="0"/>
          <w:numId w:val="2"/>
        </w:numPr>
        <w:spacing w:after="40" w:line="276"/>
      </w:pPr>
      <w:r>
        <w:t xml:space="preserve">Conserver le contrat d’intégration caisse (« Exigences API caisse ») pour le jour de l’intégration.</w:t>
      </w:r>
    </w:p>
    <w:p>
      <w:pPr>
        <w:pStyle w:val="ListParagraph"/>
        <w:numPr>
          <w:ilvl w:val="0"/>
          <w:numId w:val="2"/>
        </w:numPr>
        <w:spacing w:after="40" w:line="276"/>
      </w:pPr>
      <w:r>
        <w:t xml:space="preserve">Préparer le backlog de développement.</w:t>
      </w:r>
    </w:p>
    <w:p>
      <w:r>
        <w:br/>
        <w:t xml:space="preserve"/>
      </w:r>
    </w:p>
    <w:p>
      <w:pPr>
        <w:pStyle w:val="Heading1"/>
      </w:pPr>
      <w:r>
        <w:t xml:space="preserve">Annexe A — Cartographie des responsabilités</w:t>
      </w:r>
    </w:p>
    <w:p>
      <w:pPr>
        <w:spacing w:after="120" w:line="276"/>
      </w:pPr>
      <w:r>
        <w:t xml:space="preserve">Convention Site / Boutique / Partagé. Au lancement, le site fait autorité ; les lignes « Partagé » marquent les points d’intégration future avec la caisse.</w:t>
      </w:r>
    </w:p>
    <w:p>
      <w:pPr>
        <w:spacing w:after="70" w:before="160"/>
      </w:pPr>
      <w:r>
        <w:rPr>
          <w:b/>
          <w:bCs/>
          <w:color w:val="2E5496"/>
          <w:sz w:val="22"/>
          <w:szCs w:val="22"/>
        </w:rPr>
        <w:t xml:space="preserve">Catalogue &amp; produits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100"/>
        <w:gridCol w:w="1700"/>
        <w:gridCol w:w="4200"/>
      </w:tblGrid>
      <w:tr>
        <w:trPr>
          <w:tblHeader/>
        </w:trPr>
        <w:tc>
          <w:tcPr>
            <w:tcW w:type="dxa" w:w="3100"/>
            <w:shd w:fill="1F3864" w:color="auto" w:val="clear"/>
            <w:tcMar>
              <w:top w:type="dxa" w:w="60"/>
              <w:left w:type="dxa" w:w="100"/>
              <w:bottom w:type="dxa" w:w="60"/>
              <w:right w:type="dxa" w:w="100"/>
            </w:tcMar>
          </w:tcPr>
          <w:p>
            <w:r>
              <w:rPr>
                <w:b/>
                <w:bCs/>
                <w:color w:val="FFFFFF"/>
                <w:sz w:val="20"/>
                <w:szCs w:val="20"/>
              </w:rPr>
              <w:t xml:space="preserve">Élément</w:t>
            </w:r>
          </w:p>
        </w:tc>
        <w:tc>
          <w:tcPr>
            <w:tcW w:type="dxa" w:w="1700"/>
            <w:shd w:fill="1F3864" w:color="auto" w:val="clear"/>
            <w:tcMar>
              <w:top w:type="dxa" w:w="60"/>
              <w:left w:type="dxa" w:w="100"/>
              <w:bottom w:type="dxa" w:w="60"/>
              <w:right w:type="dxa" w:w="100"/>
            </w:tcMar>
          </w:tcPr>
          <w:p>
            <w:r>
              <w:rPr>
                <w:b/>
                <w:bCs/>
                <w:color w:val="FFFFFF"/>
                <w:sz w:val="20"/>
                <w:szCs w:val="20"/>
              </w:rPr>
              <w:t xml:space="preserve">Responsable</w:t>
            </w:r>
          </w:p>
        </w:tc>
        <w:tc>
          <w:tcPr>
            <w:tcW w:type="dxa" w:w="4200"/>
            <w:shd w:fill="1F3864" w:color="auto" w:val="clear"/>
            <w:tcMar>
              <w:top w:type="dxa" w:w="60"/>
              <w:left w:type="dxa" w:w="100"/>
              <w:bottom w:type="dxa" w:w="60"/>
              <w:right w:type="dxa" w:w="100"/>
            </w:tcMar>
          </w:tcPr>
          <w:p>
            <w:r>
              <w:rPr>
                <w:b/>
                <w:bCs/>
                <w:color w:val="FFFFFF"/>
                <w:sz w:val="20"/>
                <w:szCs w:val="20"/>
              </w:rPr>
              <w:t xml:space="preserve">Précision</w:t>
            </w:r>
          </w:p>
        </w:tc>
      </w:tr>
      <w:tr>
        <w:tc>
          <w:tcPr>
            <w:tcW w:type="dxa" w:w="3100"/>
            <w:tcMar>
              <w:top w:type="dxa" w:w="50"/>
              <w:left w:type="dxa" w:w="100"/>
              <w:bottom w:type="dxa" w:w="50"/>
              <w:right w:type="dxa" w:w="100"/>
            </w:tcMar>
          </w:tcPr>
          <w:p>
            <w:r>
              <w:rPr>
                <w:sz w:val="20"/>
                <w:szCs w:val="20"/>
              </w:rPr>
              <w:t xml:space="preserve">Produits, déclinaisons, options, formules, groupes de choix</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Gérés via le back-office (autonome) ; refCaisse pour l’intégration</w:t>
            </w:r>
          </w:p>
        </w:tc>
      </w:tr>
      <w:tr>
        <w:tc>
          <w:tcPr>
            <w:tcW w:type="dxa" w:w="3100"/>
            <w:tcMar>
              <w:top w:type="dxa" w:w="50"/>
              <w:left w:type="dxa" w:w="100"/>
              <w:bottom w:type="dxa" w:w="50"/>
              <w:right w:type="dxa" w:w="100"/>
            </w:tcMar>
          </w:tcPr>
          <w:p>
            <w:r>
              <w:rPr>
                <w:sz w:val="20"/>
                <w:szCs w:val="20"/>
              </w:rPr>
              <w:t xml:space="preserve">Enrichissement : photos, textes, descriptions, SEO</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Couche de présentation</w:t>
            </w:r>
          </w:p>
        </w:tc>
      </w:tr>
      <w:tr>
        <w:tc>
          <w:tcPr>
            <w:tcW w:type="dxa" w:w="3100"/>
            <w:tcMar>
              <w:top w:type="dxa" w:w="50"/>
              <w:left w:type="dxa" w:w="100"/>
              <w:bottom w:type="dxa" w:w="50"/>
              <w:right w:type="dxa" w:w="100"/>
            </w:tcMar>
          </w:tcPr>
          <w:p>
            <w:r>
              <w:rPr>
                <w:sz w:val="20"/>
                <w:szCs w:val="20"/>
              </w:rPr>
              <w:t xml:space="preserve">Mise en avant, merchandising</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Éditorial</w:t>
            </w:r>
          </w:p>
        </w:tc>
      </w:tr>
      <w:tr>
        <w:tc>
          <w:tcPr>
            <w:tcW w:type="dxa" w:w="3100"/>
            <w:tcMar>
              <w:top w:type="dxa" w:w="50"/>
              <w:left w:type="dxa" w:w="100"/>
              <w:bottom w:type="dxa" w:w="50"/>
              <w:right w:type="dxa" w:w="100"/>
            </w:tcMar>
          </w:tcPr>
          <w:p>
            <w:r>
              <w:rPr>
                <w:sz w:val="20"/>
                <w:szCs w:val="20"/>
              </w:rPr>
              <w:t xml:space="preserve">Gestion / édition du catalogue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Back-office (ADR-014)</w:t>
            </w:r>
          </w:p>
        </w:tc>
      </w:tr>
      <w:tr>
        <w:tc>
          <w:tcPr>
            <w:tcW w:type="dxa" w:w="3100"/>
            <w:shd w:fill="FCE8D5" w:color="auto" w:val="clear"/>
            <w:tcMar>
              <w:top w:type="dxa" w:w="50"/>
              <w:left w:type="dxa" w:w="100"/>
              <w:bottom w:type="dxa" w:w="50"/>
              <w:right w:type="dxa" w:w="100"/>
            </w:tcMar>
          </w:tcPr>
          <w:p>
            <w:r>
              <w:rPr>
                <w:sz w:val="20"/>
                <w:szCs w:val="20"/>
              </w:rPr>
              <w:t xml:space="preserve">Correspondance refCaisse produit</w:t>
            </w:r>
          </w:p>
        </w:tc>
        <w:tc>
          <w:tcPr>
            <w:tcW w:type="dxa" w:w="1700"/>
            <w:shd w:fill="FCE8D5" w:color="auto" w:val="clear"/>
            <w:tcMar>
              <w:top w:type="dxa" w:w="50"/>
              <w:left w:type="dxa" w:w="100"/>
              <w:bottom w:type="dxa" w:w="50"/>
              <w:right w:type="dxa" w:w="100"/>
            </w:tcMar>
          </w:tcPr>
          <w:p>
            <w:r>
              <w:rPr>
                <w:b/>
                <w:bCs/>
                <w:color w:val="B5651D"/>
                <w:sz w:val="20"/>
                <w:szCs w:val="20"/>
              </w:rPr>
              <w:t xml:space="preserve">Partagé</w:t>
            </w:r>
          </w:p>
        </w:tc>
        <w:tc>
          <w:tcPr>
            <w:tcW w:type="dxa" w:w="4200"/>
            <w:shd w:fill="FCE8D5" w:color="auto" w:val="clear"/>
            <w:tcMar>
              <w:top w:type="dxa" w:w="50"/>
              <w:left w:type="dxa" w:w="100"/>
              <w:bottom w:type="dxa" w:w="50"/>
              <w:right w:type="dxa" w:w="100"/>
            </w:tcMar>
          </w:tcPr>
          <w:p>
            <w:r>
              <w:rPr>
                <w:sz w:val="20"/>
                <w:szCs w:val="20"/>
              </w:rPr>
              <w:t xml:space="preserve">Renseignée à l’intégration future</w:t>
            </w:r>
          </w:p>
        </w:tc>
      </w:tr>
    </w:tbl>
    <w:p>
      <w:pPr>
        <w:spacing w:after="80"/>
      </w:pPr>
    </w:p>
    <w:p>
      <w:pPr>
        <w:spacing w:after="70" w:before="160"/>
      </w:pPr>
      <w:r>
        <w:rPr>
          <w:b/>
          <w:bCs/>
          <w:color w:val="2E5496"/>
          <w:sz w:val="22"/>
          <w:szCs w:val="22"/>
        </w:rPr>
        <w:t xml:space="preserve">Prix &amp; promotions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100"/>
        <w:gridCol w:w="1700"/>
        <w:gridCol w:w="4200"/>
      </w:tblGrid>
      <w:tr>
        <w:trPr>
          <w:tblHeader/>
        </w:trPr>
        <w:tc>
          <w:tcPr>
            <w:tcW w:type="dxa" w:w="3100"/>
            <w:shd w:fill="1F3864" w:color="auto" w:val="clear"/>
            <w:tcMar>
              <w:top w:type="dxa" w:w="60"/>
              <w:left w:type="dxa" w:w="100"/>
              <w:bottom w:type="dxa" w:w="60"/>
              <w:right w:type="dxa" w:w="100"/>
            </w:tcMar>
          </w:tcPr>
          <w:p>
            <w:r>
              <w:rPr>
                <w:b/>
                <w:bCs/>
                <w:color w:val="FFFFFF"/>
                <w:sz w:val="20"/>
                <w:szCs w:val="20"/>
              </w:rPr>
              <w:t xml:space="preserve">Élément</w:t>
            </w:r>
          </w:p>
        </w:tc>
        <w:tc>
          <w:tcPr>
            <w:tcW w:type="dxa" w:w="1700"/>
            <w:shd w:fill="1F3864" w:color="auto" w:val="clear"/>
            <w:tcMar>
              <w:top w:type="dxa" w:w="60"/>
              <w:left w:type="dxa" w:w="100"/>
              <w:bottom w:type="dxa" w:w="60"/>
              <w:right w:type="dxa" w:w="100"/>
            </w:tcMar>
          </w:tcPr>
          <w:p>
            <w:r>
              <w:rPr>
                <w:b/>
                <w:bCs/>
                <w:color w:val="FFFFFF"/>
                <w:sz w:val="20"/>
                <w:szCs w:val="20"/>
              </w:rPr>
              <w:t xml:space="preserve">Responsable</w:t>
            </w:r>
          </w:p>
        </w:tc>
        <w:tc>
          <w:tcPr>
            <w:tcW w:type="dxa" w:w="4200"/>
            <w:shd w:fill="1F3864" w:color="auto" w:val="clear"/>
            <w:tcMar>
              <w:top w:type="dxa" w:w="60"/>
              <w:left w:type="dxa" w:w="100"/>
              <w:bottom w:type="dxa" w:w="60"/>
              <w:right w:type="dxa" w:w="100"/>
            </w:tcMar>
          </w:tcPr>
          <w:p>
            <w:r>
              <w:rPr>
                <w:b/>
                <w:bCs/>
                <w:color w:val="FFFFFF"/>
                <w:sz w:val="20"/>
                <w:szCs w:val="20"/>
              </w:rPr>
              <w:t xml:space="preserve">Précision</w:t>
            </w:r>
          </w:p>
        </w:tc>
      </w:tr>
      <w:tr>
        <w:tc>
          <w:tcPr>
            <w:tcW w:type="dxa" w:w="3100"/>
            <w:tcMar>
              <w:top w:type="dxa" w:w="50"/>
              <w:left w:type="dxa" w:w="100"/>
              <w:bottom w:type="dxa" w:w="50"/>
              <w:right w:type="dxa" w:w="100"/>
            </w:tcMar>
          </w:tcPr>
          <w:p>
            <w:r>
              <w:rPr>
                <w:sz w:val="20"/>
                <w:szCs w:val="20"/>
              </w:rPr>
              <w:t xml:space="preserve">Prix de référence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Géré en back-office (autonome)</w:t>
            </w:r>
          </w:p>
        </w:tc>
      </w:tr>
      <w:tr>
        <w:tc>
          <w:tcPr>
            <w:tcW w:type="dxa" w:w="3100"/>
            <w:tcMar>
              <w:top w:type="dxa" w:w="50"/>
              <w:left w:type="dxa" w:w="100"/>
              <w:bottom w:type="dxa" w:w="50"/>
              <w:right w:type="dxa" w:w="100"/>
            </w:tcMar>
          </w:tcPr>
          <w:p>
            <w:r>
              <w:rPr>
                <w:sz w:val="20"/>
                <w:szCs w:val="20"/>
              </w:rPr>
              <w:t xml:space="preserve">Affichage du prix</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
            </w:r>
          </w:p>
        </w:tc>
      </w:tr>
      <w:tr>
        <w:tc>
          <w:tcPr>
            <w:tcW w:type="dxa" w:w="3100"/>
            <w:tcMar>
              <w:top w:type="dxa" w:w="50"/>
              <w:left w:type="dxa" w:w="100"/>
              <w:bottom w:type="dxa" w:w="50"/>
              <w:right w:type="dxa" w:w="100"/>
            </w:tcMar>
          </w:tcPr>
          <w:p>
            <w:r>
              <w:rPr>
                <w:sz w:val="20"/>
                <w:szCs w:val="20"/>
              </w:rPr>
              <w:t xml:space="preserve">Promotions / affichage marketing</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ADR-020</w:t>
            </w:r>
          </w:p>
        </w:tc>
      </w:tr>
    </w:tbl>
    <w:p>
      <w:pPr>
        <w:spacing w:after="80"/>
      </w:pPr>
    </w:p>
    <w:p>
      <w:pPr>
        <w:spacing w:after="70" w:before="160"/>
      </w:pPr>
      <w:r>
        <w:rPr>
          <w:b/>
          <w:bCs/>
          <w:color w:val="2E5496"/>
          <w:sz w:val="22"/>
          <w:szCs w:val="22"/>
        </w:rPr>
        <w:t xml:space="preserve">Disponibilité &amp; créneaux</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100"/>
        <w:gridCol w:w="1700"/>
        <w:gridCol w:w="4200"/>
      </w:tblGrid>
      <w:tr>
        <w:trPr>
          <w:tblHeader/>
        </w:trPr>
        <w:tc>
          <w:tcPr>
            <w:tcW w:type="dxa" w:w="3100"/>
            <w:shd w:fill="1F3864" w:color="auto" w:val="clear"/>
            <w:tcMar>
              <w:top w:type="dxa" w:w="60"/>
              <w:left w:type="dxa" w:w="100"/>
              <w:bottom w:type="dxa" w:w="60"/>
              <w:right w:type="dxa" w:w="100"/>
            </w:tcMar>
          </w:tcPr>
          <w:p>
            <w:r>
              <w:rPr>
                <w:b/>
                <w:bCs/>
                <w:color w:val="FFFFFF"/>
                <w:sz w:val="20"/>
                <w:szCs w:val="20"/>
              </w:rPr>
              <w:t xml:space="preserve">Élément</w:t>
            </w:r>
          </w:p>
        </w:tc>
        <w:tc>
          <w:tcPr>
            <w:tcW w:type="dxa" w:w="1700"/>
            <w:shd w:fill="1F3864" w:color="auto" w:val="clear"/>
            <w:tcMar>
              <w:top w:type="dxa" w:w="60"/>
              <w:left w:type="dxa" w:w="100"/>
              <w:bottom w:type="dxa" w:w="60"/>
              <w:right w:type="dxa" w:w="100"/>
            </w:tcMar>
          </w:tcPr>
          <w:p>
            <w:r>
              <w:rPr>
                <w:b/>
                <w:bCs/>
                <w:color w:val="FFFFFF"/>
                <w:sz w:val="20"/>
                <w:szCs w:val="20"/>
              </w:rPr>
              <w:t xml:space="preserve">Responsable</w:t>
            </w:r>
          </w:p>
        </w:tc>
        <w:tc>
          <w:tcPr>
            <w:tcW w:type="dxa" w:w="4200"/>
            <w:shd w:fill="1F3864" w:color="auto" w:val="clear"/>
            <w:tcMar>
              <w:top w:type="dxa" w:w="60"/>
              <w:left w:type="dxa" w:w="100"/>
              <w:bottom w:type="dxa" w:w="60"/>
              <w:right w:type="dxa" w:w="100"/>
            </w:tcMar>
          </w:tcPr>
          <w:p>
            <w:r>
              <w:rPr>
                <w:b/>
                <w:bCs/>
                <w:color w:val="FFFFFF"/>
                <w:sz w:val="20"/>
                <w:szCs w:val="20"/>
              </w:rPr>
              <w:t xml:space="preserve">Précision</w:t>
            </w:r>
          </w:p>
        </w:tc>
      </w:tr>
      <w:tr>
        <w:tc>
          <w:tcPr>
            <w:tcW w:type="dxa" w:w="3100"/>
            <w:tcMar>
              <w:top w:type="dxa" w:w="50"/>
              <w:left w:type="dxa" w:w="100"/>
              <w:bottom w:type="dxa" w:w="50"/>
              <w:right w:type="dxa" w:w="100"/>
            </w:tcMar>
          </w:tcPr>
          <w:p>
            <w:r>
              <w:rPr>
                <w:sz w:val="20"/>
                <w:szCs w:val="20"/>
              </w:rPr>
              <w:t xml:space="preserve">Production / stock</w:t>
            </w:r>
          </w:p>
        </w:tc>
        <w:tc>
          <w:tcPr>
            <w:tcW w:type="dxa" w:w="1700"/>
            <w:tcMar>
              <w:top w:type="dxa" w:w="50"/>
              <w:left w:type="dxa" w:w="100"/>
              <w:bottom w:type="dxa" w:w="50"/>
              <w:right w:type="dxa" w:w="100"/>
            </w:tcMar>
          </w:tcPr>
          <w:p>
            <w:r>
              <w:rPr>
                <w:b/>
                <w:bCs/>
                <w:color w:val="B5651D"/>
                <w:sz w:val="20"/>
                <w:szCs w:val="20"/>
              </w:rPr>
              <w:t xml:space="preserve">Boutique</w:t>
            </w:r>
          </w:p>
        </w:tc>
        <w:tc>
          <w:tcPr>
            <w:tcW w:type="dxa" w:w="4200"/>
            <w:tcMar>
              <w:top w:type="dxa" w:w="50"/>
              <w:left w:type="dxa" w:w="100"/>
              <w:bottom w:type="dxa" w:w="50"/>
              <w:right w:type="dxa" w:w="100"/>
            </w:tcMar>
          </w:tcPr>
          <w:p>
            <w:r>
              <w:rPr>
                <w:sz w:val="20"/>
                <w:szCs w:val="20"/>
              </w:rPr>
              <w:t xml:space="preserve">Hors site — pas de gestion de stock</w:t>
            </w:r>
          </w:p>
        </w:tc>
      </w:tr>
      <w:tr>
        <w:tc>
          <w:tcPr>
            <w:tcW w:type="dxa" w:w="3100"/>
            <w:tcMar>
              <w:top w:type="dxa" w:w="50"/>
              <w:left w:type="dxa" w:w="100"/>
              <w:bottom w:type="dxa" w:w="50"/>
              <w:right w:type="dxa" w:w="100"/>
            </w:tcMar>
          </w:tcPr>
          <w:p>
            <w:r>
              <w:rPr>
                <w:sz w:val="20"/>
                <w:szCs w:val="20"/>
              </w:rPr>
              <w:t xml:space="preserve">Heures limites de commande (délais par famille)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Paramétrées en back-office</w:t>
            </w:r>
          </w:p>
        </w:tc>
      </w:tr>
      <w:tr>
        <w:tc>
          <w:tcPr>
            <w:tcW w:type="dxa" w:w="3100"/>
            <w:tcMar>
              <w:top w:type="dxa" w:w="50"/>
              <w:left w:type="dxa" w:w="100"/>
              <w:bottom w:type="dxa" w:w="50"/>
              <w:right w:type="dxa" w:w="100"/>
            </w:tcMar>
          </w:tcPr>
          <w:p>
            <w:r>
              <w:rPr>
                <w:sz w:val="20"/>
                <w:szCs w:val="20"/>
              </w:rPr>
              <w:t xml:space="preserve">Calcul « commandable » pour un créneau</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Règle §7, réévaluée en continu</w:t>
            </w:r>
          </w:p>
        </w:tc>
      </w:tr>
      <w:tr>
        <w:tc>
          <w:tcPr>
            <w:tcW w:type="dxa" w:w="3100"/>
            <w:tcMar>
              <w:top w:type="dxa" w:w="50"/>
              <w:left w:type="dxa" w:w="100"/>
              <w:bottom w:type="dxa" w:w="50"/>
              <w:right w:type="dxa" w:w="100"/>
            </w:tcMar>
          </w:tcPr>
          <w:p>
            <w:r>
              <w:rPr>
                <w:sz w:val="20"/>
                <w:szCs w:val="20"/>
              </w:rPr>
              <w:t xml:space="preserve">Points de retrait, horaires, génération des créneaux</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Entité point de retrait (§6)</w:t>
            </w:r>
          </w:p>
        </w:tc>
      </w:tr>
    </w:tbl>
    <w:p>
      <w:pPr>
        <w:spacing w:after="80"/>
      </w:pPr>
    </w:p>
    <w:p>
      <w:pPr>
        <w:spacing w:after="70" w:before="160"/>
      </w:pPr>
      <w:r>
        <w:rPr>
          <w:b/>
          <w:bCs/>
          <w:color w:val="2E5496"/>
          <w:sz w:val="22"/>
          <w:szCs w:val="22"/>
        </w:rPr>
        <w:t xml:space="preserve">Panier, tunnel &amp; compte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100"/>
        <w:gridCol w:w="1700"/>
        <w:gridCol w:w="4200"/>
      </w:tblGrid>
      <w:tr>
        <w:trPr>
          <w:tblHeader/>
        </w:trPr>
        <w:tc>
          <w:tcPr>
            <w:tcW w:type="dxa" w:w="3100"/>
            <w:shd w:fill="1F3864" w:color="auto" w:val="clear"/>
            <w:tcMar>
              <w:top w:type="dxa" w:w="60"/>
              <w:left w:type="dxa" w:w="100"/>
              <w:bottom w:type="dxa" w:w="60"/>
              <w:right w:type="dxa" w:w="100"/>
            </w:tcMar>
          </w:tcPr>
          <w:p>
            <w:r>
              <w:rPr>
                <w:b/>
                <w:bCs/>
                <w:color w:val="FFFFFF"/>
                <w:sz w:val="20"/>
                <w:szCs w:val="20"/>
              </w:rPr>
              <w:t xml:space="preserve">Élément</w:t>
            </w:r>
          </w:p>
        </w:tc>
        <w:tc>
          <w:tcPr>
            <w:tcW w:type="dxa" w:w="1700"/>
            <w:shd w:fill="1F3864" w:color="auto" w:val="clear"/>
            <w:tcMar>
              <w:top w:type="dxa" w:w="60"/>
              <w:left w:type="dxa" w:w="100"/>
              <w:bottom w:type="dxa" w:w="60"/>
              <w:right w:type="dxa" w:w="100"/>
            </w:tcMar>
          </w:tcPr>
          <w:p>
            <w:r>
              <w:rPr>
                <w:b/>
                <w:bCs/>
                <w:color w:val="FFFFFF"/>
                <w:sz w:val="20"/>
                <w:szCs w:val="20"/>
              </w:rPr>
              <w:t xml:space="preserve">Responsable</w:t>
            </w:r>
          </w:p>
        </w:tc>
        <w:tc>
          <w:tcPr>
            <w:tcW w:type="dxa" w:w="4200"/>
            <w:shd w:fill="1F3864" w:color="auto" w:val="clear"/>
            <w:tcMar>
              <w:top w:type="dxa" w:w="60"/>
              <w:left w:type="dxa" w:w="100"/>
              <w:bottom w:type="dxa" w:w="60"/>
              <w:right w:type="dxa" w:w="100"/>
            </w:tcMar>
          </w:tcPr>
          <w:p>
            <w:r>
              <w:rPr>
                <w:b/>
                <w:bCs/>
                <w:color w:val="FFFFFF"/>
                <w:sz w:val="20"/>
                <w:szCs w:val="20"/>
              </w:rPr>
              <w:t xml:space="preserve">Précision</w:t>
            </w:r>
          </w:p>
        </w:tc>
      </w:tr>
      <w:tr>
        <w:tc>
          <w:tcPr>
            <w:tcW w:type="dxa" w:w="3100"/>
            <w:tcMar>
              <w:top w:type="dxa" w:w="50"/>
              <w:left w:type="dxa" w:w="100"/>
              <w:bottom w:type="dxa" w:w="50"/>
              <w:right w:type="dxa" w:w="100"/>
            </w:tcMar>
          </w:tcPr>
          <w:p>
            <w:r>
              <w:rPr>
                <w:sz w:val="20"/>
                <w:szCs w:val="20"/>
              </w:rPr>
              <w:t xml:space="preserve">Navigation, mode vitrine / commande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
            </w:r>
          </w:p>
        </w:tc>
      </w:tr>
      <w:tr>
        <w:tc>
          <w:tcPr>
            <w:tcW w:type="dxa" w:w="3100"/>
            <w:tcMar>
              <w:top w:type="dxa" w:w="50"/>
              <w:left w:type="dxa" w:w="100"/>
              <w:bottom w:type="dxa" w:w="50"/>
              <w:right w:type="dxa" w:w="100"/>
            </w:tcMar>
          </w:tcPr>
          <w:p>
            <w:r>
              <w:rPr>
                <w:sz w:val="20"/>
                <w:szCs w:val="20"/>
              </w:rPr>
              <w:t xml:space="preserve">Panier, lignes de panier, persistance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
            </w:r>
          </w:p>
        </w:tc>
      </w:tr>
      <w:tr>
        <w:tc>
          <w:tcPr>
            <w:tcW w:type="dxa" w:w="3100"/>
            <w:tcMar>
              <w:top w:type="dxa" w:w="50"/>
              <w:left w:type="dxa" w:w="100"/>
              <w:bottom w:type="dxa" w:w="50"/>
              <w:right w:type="dxa" w:w="100"/>
            </w:tcMar>
          </w:tcPr>
          <w:p>
            <w:r>
              <w:rPr>
                <w:sz w:val="20"/>
                <w:szCs w:val="20"/>
              </w:rPr>
              <w:t xml:space="preserve">Favoris, historique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Compte connecté</w:t>
            </w:r>
          </w:p>
        </w:tc>
      </w:tr>
      <w:tr>
        <w:tc>
          <w:tcPr>
            <w:tcW w:type="dxa" w:w="3100"/>
            <w:tcMar>
              <w:top w:type="dxa" w:w="50"/>
              <w:left w:type="dxa" w:w="100"/>
              <w:bottom w:type="dxa" w:w="50"/>
              <w:right w:type="dxa" w:w="100"/>
            </w:tcMar>
          </w:tcPr>
          <w:p>
            <w:r>
              <w:rPr>
                <w:sz w:val="20"/>
                <w:szCs w:val="20"/>
              </w:rPr>
              <w:t xml:space="preserve">Comptes, authentification, RGPD</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Invité + compte optionnel (§10)</w:t>
            </w:r>
          </w:p>
        </w:tc>
      </w:tr>
    </w:tbl>
    <w:p>
      <w:pPr>
        <w:spacing w:after="80"/>
      </w:pPr>
    </w:p>
    <w:p>
      <w:pPr>
        <w:spacing w:after="70" w:before="160"/>
      </w:pPr>
      <w:r>
        <w:rPr>
          <w:b/>
          <w:bCs/>
          <w:color w:val="2E5496"/>
          <w:sz w:val="22"/>
          <w:szCs w:val="22"/>
        </w:rPr>
        <w:t xml:space="preserve">Paiement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100"/>
        <w:gridCol w:w="1700"/>
        <w:gridCol w:w="4200"/>
      </w:tblGrid>
      <w:tr>
        <w:trPr>
          <w:tblHeader/>
        </w:trPr>
        <w:tc>
          <w:tcPr>
            <w:tcW w:type="dxa" w:w="3100"/>
            <w:shd w:fill="1F3864" w:color="auto" w:val="clear"/>
            <w:tcMar>
              <w:top w:type="dxa" w:w="60"/>
              <w:left w:type="dxa" w:w="100"/>
              <w:bottom w:type="dxa" w:w="60"/>
              <w:right w:type="dxa" w:w="100"/>
            </w:tcMar>
          </w:tcPr>
          <w:p>
            <w:r>
              <w:rPr>
                <w:b/>
                <w:bCs/>
                <w:color w:val="FFFFFF"/>
                <w:sz w:val="20"/>
                <w:szCs w:val="20"/>
              </w:rPr>
              <w:t xml:space="preserve">Élément</w:t>
            </w:r>
          </w:p>
        </w:tc>
        <w:tc>
          <w:tcPr>
            <w:tcW w:type="dxa" w:w="1700"/>
            <w:shd w:fill="1F3864" w:color="auto" w:val="clear"/>
            <w:tcMar>
              <w:top w:type="dxa" w:w="60"/>
              <w:left w:type="dxa" w:w="100"/>
              <w:bottom w:type="dxa" w:w="60"/>
              <w:right w:type="dxa" w:w="100"/>
            </w:tcMar>
          </w:tcPr>
          <w:p>
            <w:r>
              <w:rPr>
                <w:b/>
                <w:bCs/>
                <w:color w:val="FFFFFF"/>
                <w:sz w:val="20"/>
                <w:szCs w:val="20"/>
              </w:rPr>
              <w:t xml:space="preserve">Responsable</w:t>
            </w:r>
          </w:p>
        </w:tc>
        <w:tc>
          <w:tcPr>
            <w:tcW w:type="dxa" w:w="4200"/>
            <w:shd w:fill="1F3864" w:color="auto" w:val="clear"/>
            <w:tcMar>
              <w:top w:type="dxa" w:w="60"/>
              <w:left w:type="dxa" w:w="100"/>
              <w:bottom w:type="dxa" w:w="60"/>
              <w:right w:type="dxa" w:w="100"/>
            </w:tcMar>
          </w:tcPr>
          <w:p>
            <w:r>
              <w:rPr>
                <w:b/>
                <w:bCs/>
                <w:color w:val="FFFFFF"/>
                <w:sz w:val="20"/>
                <w:szCs w:val="20"/>
              </w:rPr>
              <w:t xml:space="preserve">Précision</w:t>
            </w:r>
          </w:p>
        </w:tc>
      </w:tr>
      <w:tr>
        <w:tc>
          <w:tcPr>
            <w:tcW w:type="dxa" w:w="3100"/>
            <w:tcMar>
              <w:top w:type="dxa" w:w="50"/>
              <w:left w:type="dxa" w:w="100"/>
              <w:bottom w:type="dxa" w:w="50"/>
              <w:right w:type="dxa" w:w="100"/>
            </w:tcMar>
          </w:tcPr>
          <w:p>
            <w:r>
              <w:rPr>
                <w:sz w:val="20"/>
                <w:szCs w:val="20"/>
              </w:rPr>
              <w:t xml:space="preserve">Encaissement CB en ligne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Via PayPlug (PSP)</w:t>
            </w:r>
          </w:p>
        </w:tc>
      </w:tr>
      <w:tr>
        <w:tc>
          <w:tcPr>
            <w:tcW w:type="dxa" w:w="3100"/>
            <w:tcMar>
              <w:top w:type="dxa" w:w="50"/>
              <w:left w:type="dxa" w:w="100"/>
              <w:bottom w:type="dxa" w:w="50"/>
              <w:right w:type="dxa" w:w="100"/>
            </w:tcMar>
          </w:tcPr>
          <w:p>
            <w:r>
              <w:rPr>
                <w:sz w:val="20"/>
                <w:szCs w:val="20"/>
              </w:rPr>
              <w:t xml:space="preserve">Remboursement CB</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API PayPlug</w:t>
            </w:r>
          </w:p>
        </w:tc>
      </w:tr>
      <w:tr>
        <w:tc>
          <w:tcPr>
            <w:tcW w:type="dxa" w:w="3100"/>
            <w:tcMar>
              <w:top w:type="dxa" w:w="50"/>
              <w:left w:type="dxa" w:w="100"/>
              <w:bottom w:type="dxa" w:w="50"/>
              <w:right w:type="dxa" w:w="100"/>
            </w:tcMar>
          </w:tcPr>
          <w:p>
            <w:r>
              <w:rPr>
                <w:sz w:val="20"/>
                <w:szCs w:val="20"/>
              </w:rPr>
              <w:t xml:space="preserve">Avoir (crédit boutique)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Non géré par PayPlug — modèle porté par le site</w:t>
            </w:r>
          </w:p>
        </w:tc>
      </w:tr>
      <w:tr>
        <w:tc>
          <w:tcPr>
            <w:tcW w:type="dxa" w:w="3100"/>
            <w:tcMar>
              <w:top w:type="dxa" w:w="50"/>
              <w:left w:type="dxa" w:w="100"/>
              <w:bottom w:type="dxa" w:w="50"/>
              <w:right w:type="dxa" w:w="100"/>
            </w:tcMar>
          </w:tcPr>
          <w:p>
            <w:r>
              <w:rPr>
                <w:sz w:val="20"/>
                <w:szCs w:val="20"/>
              </w:rPr>
              <w:t xml:space="preserve">Rapprochement comptable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Via PayPlug / banque</w:t>
            </w:r>
          </w:p>
        </w:tc>
      </w:tr>
    </w:tbl>
    <w:p>
      <w:pPr>
        <w:spacing w:after="80"/>
      </w:pPr>
    </w:p>
    <w:p>
      <w:pPr>
        <w:spacing w:after="70" w:before="160"/>
      </w:pPr>
      <w:r>
        <w:rPr>
          <w:b/>
          <w:bCs/>
          <w:color w:val="2E5496"/>
          <w:sz w:val="22"/>
          <w:szCs w:val="22"/>
        </w:rPr>
        <w:t xml:space="preserve">Commande &amp; production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100"/>
        <w:gridCol w:w="1700"/>
        <w:gridCol w:w="4200"/>
      </w:tblGrid>
      <w:tr>
        <w:trPr>
          <w:tblHeader/>
        </w:trPr>
        <w:tc>
          <w:tcPr>
            <w:tcW w:type="dxa" w:w="3100"/>
            <w:shd w:fill="1F3864" w:color="auto" w:val="clear"/>
            <w:tcMar>
              <w:top w:type="dxa" w:w="60"/>
              <w:left w:type="dxa" w:w="100"/>
              <w:bottom w:type="dxa" w:w="60"/>
              <w:right w:type="dxa" w:w="100"/>
            </w:tcMar>
          </w:tcPr>
          <w:p>
            <w:r>
              <w:rPr>
                <w:b/>
                <w:bCs/>
                <w:color w:val="FFFFFF"/>
                <w:sz w:val="20"/>
                <w:szCs w:val="20"/>
              </w:rPr>
              <w:t xml:space="preserve">Élément</w:t>
            </w:r>
          </w:p>
        </w:tc>
        <w:tc>
          <w:tcPr>
            <w:tcW w:type="dxa" w:w="1700"/>
            <w:shd w:fill="1F3864" w:color="auto" w:val="clear"/>
            <w:tcMar>
              <w:top w:type="dxa" w:w="60"/>
              <w:left w:type="dxa" w:w="100"/>
              <w:bottom w:type="dxa" w:w="60"/>
              <w:right w:type="dxa" w:w="100"/>
            </w:tcMar>
          </w:tcPr>
          <w:p>
            <w:r>
              <w:rPr>
                <w:b/>
                <w:bCs/>
                <w:color w:val="FFFFFF"/>
                <w:sz w:val="20"/>
                <w:szCs w:val="20"/>
              </w:rPr>
              <w:t xml:space="preserve">Responsable</w:t>
            </w:r>
          </w:p>
        </w:tc>
        <w:tc>
          <w:tcPr>
            <w:tcW w:type="dxa" w:w="4200"/>
            <w:shd w:fill="1F3864" w:color="auto" w:val="clear"/>
            <w:tcMar>
              <w:top w:type="dxa" w:w="60"/>
              <w:left w:type="dxa" w:w="100"/>
              <w:bottom w:type="dxa" w:w="60"/>
              <w:right w:type="dxa" w:w="100"/>
            </w:tcMar>
          </w:tcPr>
          <w:p>
            <w:r>
              <w:rPr>
                <w:b/>
                <w:bCs/>
                <w:color w:val="FFFFFF"/>
                <w:sz w:val="20"/>
                <w:szCs w:val="20"/>
              </w:rPr>
              <w:t xml:space="preserve">Précision</w:t>
            </w:r>
          </w:p>
        </w:tc>
      </w:tr>
      <w:tr>
        <w:tc>
          <w:tcPr>
            <w:tcW w:type="dxa" w:w="3100"/>
            <w:tcMar>
              <w:top w:type="dxa" w:w="50"/>
              <w:left w:type="dxa" w:w="100"/>
              <w:bottom w:type="dxa" w:w="50"/>
              <w:right w:type="dxa" w:w="100"/>
            </w:tcMar>
          </w:tcPr>
          <w:p>
            <w:r>
              <w:rPr>
                <w:sz w:val="20"/>
                <w:szCs w:val="20"/>
              </w:rPr>
              <w:t xml:space="preserve">Création de la commande en ligne</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
            </w:r>
          </w:p>
        </w:tc>
      </w:tr>
      <w:tr>
        <w:tc>
          <w:tcPr>
            <w:tcW w:type="dxa" w:w="3100"/>
            <w:tcMar>
              <w:top w:type="dxa" w:w="50"/>
              <w:left w:type="dxa" w:w="100"/>
              <w:bottom w:type="dxa" w:w="50"/>
              <w:right w:type="dxa" w:w="100"/>
            </w:tcMar>
          </w:tcPr>
          <w:p>
            <w:r>
              <w:rPr>
                <w:sz w:val="20"/>
                <w:szCs w:val="20"/>
              </w:rPr>
              <w:t xml:space="preserve">Préparation des commandes (liste, statuts)</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Back-office — vue de préparation pour la boutique</w:t>
            </w:r>
          </w:p>
        </w:tc>
      </w:tr>
      <w:tr>
        <w:tc>
          <w:tcPr>
            <w:tcW w:type="dxa" w:w="3100"/>
            <w:tcMar>
              <w:top w:type="dxa" w:w="50"/>
              <w:left w:type="dxa" w:w="100"/>
              <w:bottom w:type="dxa" w:w="50"/>
              <w:right w:type="dxa" w:w="100"/>
            </w:tcMar>
          </w:tcPr>
          <w:p>
            <w:r>
              <w:rPr>
                <w:sz w:val="20"/>
                <w:szCs w:val="20"/>
              </w:rPr>
              <w:t xml:space="preserve">Fabrication / préparation physique</w:t>
            </w:r>
          </w:p>
        </w:tc>
        <w:tc>
          <w:tcPr>
            <w:tcW w:type="dxa" w:w="1700"/>
            <w:tcMar>
              <w:top w:type="dxa" w:w="50"/>
              <w:left w:type="dxa" w:w="100"/>
              <w:bottom w:type="dxa" w:w="50"/>
              <w:right w:type="dxa" w:w="100"/>
            </w:tcMar>
          </w:tcPr>
          <w:p>
            <w:r>
              <w:rPr>
                <w:b/>
                <w:bCs/>
                <w:color w:val="B5651D"/>
                <w:sz w:val="20"/>
                <w:szCs w:val="20"/>
              </w:rPr>
              <w:t xml:space="preserve">Boutique</w:t>
            </w:r>
          </w:p>
        </w:tc>
        <w:tc>
          <w:tcPr>
            <w:tcW w:type="dxa" w:w="4200"/>
            <w:tcMar>
              <w:top w:type="dxa" w:w="50"/>
              <w:left w:type="dxa" w:w="100"/>
              <w:bottom w:type="dxa" w:w="50"/>
              <w:right w:type="dxa" w:w="100"/>
            </w:tcMar>
          </w:tcPr>
          <w:p>
            <w:r>
              <w:rPr>
                <w:sz w:val="20"/>
                <w:szCs w:val="20"/>
              </w:rPr>
              <w:t xml:space="preserve">Opérationnel</w:t>
            </w:r>
          </w:p>
        </w:tc>
      </w:tr>
      <w:tr>
        <w:tc>
          <w:tcPr>
            <w:tcW w:type="dxa" w:w="3100"/>
            <w:tcMar>
              <w:top w:type="dxa" w:w="50"/>
              <w:left w:type="dxa" w:w="100"/>
              <w:bottom w:type="dxa" w:w="50"/>
              <w:right w:type="dxa" w:w="100"/>
            </w:tcMar>
          </w:tcPr>
          <w:p>
            <w:r>
              <w:rPr>
                <w:sz w:val="20"/>
                <w:szCs w:val="20"/>
              </w:rPr>
              <w:t xml:space="preserve">Remise au client au retrait</w:t>
            </w:r>
          </w:p>
        </w:tc>
        <w:tc>
          <w:tcPr>
            <w:tcW w:type="dxa" w:w="1700"/>
            <w:tcMar>
              <w:top w:type="dxa" w:w="50"/>
              <w:left w:type="dxa" w:w="100"/>
              <w:bottom w:type="dxa" w:w="50"/>
              <w:right w:type="dxa" w:w="100"/>
            </w:tcMar>
          </w:tcPr>
          <w:p>
            <w:r>
              <w:rPr>
                <w:b/>
                <w:bCs/>
                <w:color w:val="B5651D"/>
                <w:sz w:val="20"/>
                <w:szCs w:val="20"/>
              </w:rPr>
              <w:t xml:space="preserve">Boutique</w:t>
            </w:r>
          </w:p>
        </w:tc>
        <w:tc>
          <w:tcPr>
            <w:tcW w:type="dxa" w:w="4200"/>
            <w:tcMar>
              <w:top w:type="dxa" w:w="50"/>
              <w:left w:type="dxa" w:w="100"/>
              <w:bottom w:type="dxa" w:w="50"/>
              <w:right w:type="dxa" w:w="100"/>
            </w:tcMar>
          </w:tcPr>
          <w:p>
            <w:r>
              <w:rPr>
                <w:sz w:val="20"/>
                <w:szCs w:val="20"/>
              </w:rPr>
              <w:t xml:space="preserve">Opérationnel en boutique</w:t>
            </w:r>
          </w:p>
        </w:tc>
      </w:tr>
      <w:tr>
        <w:tc>
          <w:tcPr>
            <w:tcW w:type="dxa" w:w="3100"/>
            <w:shd w:fill="FCE8D5" w:color="auto" w:val="clear"/>
            <w:tcMar>
              <w:top w:type="dxa" w:w="50"/>
              <w:left w:type="dxa" w:w="100"/>
              <w:bottom w:type="dxa" w:w="50"/>
              <w:right w:type="dxa" w:w="100"/>
            </w:tcMar>
          </w:tcPr>
          <w:p>
            <w:r>
              <w:rPr>
                <w:sz w:val="20"/>
                <w:szCs w:val="20"/>
              </w:rPr>
              <w:t xml:space="preserve">Synchronisation des commandes vers la caisse</w:t>
            </w:r>
          </w:p>
        </w:tc>
        <w:tc>
          <w:tcPr>
            <w:tcW w:type="dxa" w:w="1700"/>
            <w:shd w:fill="FCE8D5" w:color="auto" w:val="clear"/>
            <w:tcMar>
              <w:top w:type="dxa" w:w="50"/>
              <w:left w:type="dxa" w:w="100"/>
              <w:bottom w:type="dxa" w:w="50"/>
              <w:right w:type="dxa" w:w="100"/>
            </w:tcMar>
          </w:tcPr>
          <w:p>
            <w:r>
              <w:rPr>
                <w:b/>
                <w:bCs/>
                <w:color w:val="B5651D"/>
                <w:sz w:val="20"/>
                <w:szCs w:val="20"/>
              </w:rPr>
              <w:t xml:space="preserve">Partagé</w:t>
            </w:r>
          </w:p>
        </w:tc>
        <w:tc>
          <w:tcPr>
            <w:tcW w:type="dxa" w:w="4200"/>
            <w:shd w:fill="FCE8D5" w:color="auto" w:val="clear"/>
            <w:tcMar>
              <w:top w:type="dxa" w:w="50"/>
              <w:left w:type="dxa" w:w="100"/>
              <w:bottom w:type="dxa" w:w="50"/>
              <w:right w:type="dxa" w:w="100"/>
            </w:tcMar>
          </w:tcPr>
          <w:p>
            <w:r>
              <w:rPr>
                <w:sz w:val="20"/>
                <w:szCs w:val="20"/>
              </w:rPr>
              <w:t xml:space="preserve">À l’intégration future (refCaisse)</w:t>
            </w:r>
          </w:p>
        </w:tc>
      </w:tr>
    </w:tbl>
    <w:p>
      <w:pPr>
        <w:spacing w:after="80"/>
      </w:pPr>
    </w:p>
    <w:p>
      <w:pPr>
        <w:spacing w:after="70" w:before="160"/>
      </w:pPr>
      <w:r>
        <w:rPr>
          <w:b/>
          <w:bCs/>
          <w:color w:val="2E5496"/>
          <w:sz w:val="22"/>
          <w:szCs w:val="22"/>
        </w:rPr>
        <w:t xml:space="preserve">Communication &amp; contenu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100"/>
        <w:gridCol w:w="1700"/>
        <w:gridCol w:w="4200"/>
      </w:tblGrid>
      <w:tr>
        <w:trPr>
          <w:tblHeader/>
        </w:trPr>
        <w:tc>
          <w:tcPr>
            <w:tcW w:type="dxa" w:w="3100"/>
            <w:shd w:fill="1F3864" w:color="auto" w:val="clear"/>
            <w:tcMar>
              <w:top w:type="dxa" w:w="60"/>
              <w:left w:type="dxa" w:w="100"/>
              <w:bottom w:type="dxa" w:w="60"/>
              <w:right w:type="dxa" w:w="100"/>
            </w:tcMar>
          </w:tcPr>
          <w:p>
            <w:r>
              <w:rPr>
                <w:b/>
                <w:bCs/>
                <w:color w:val="FFFFFF"/>
                <w:sz w:val="20"/>
                <w:szCs w:val="20"/>
              </w:rPr>
              <w:t xml:space="preserve">Élément</w:t>
            </w:r>
          </w:p>
        </w:tc>
        <w:tc>
          <w:tcPr>
            <w:tcW w:type="dxa" w:w="1700"/>
            <w:shd w:fill="1F3864" w:color="auto" w:val="clear"/>
            <w:tcMar>
              <w:top w:type="dxa" w:w="60"/>
              <w:left w:type="dxa" w:w="100"/>
              <w:bottom w:type="dxa" w:w="60"/>
              <w:right w:type="dxa" w:w="100"/>
            </w:tcMar>
          </w:tcPr>
          <w:p>
            <w:r>
              <w:rPr>
                <w:b/>
                <w:bCs/>
                <w:color w:val="FFFFFF"/>
                <w:sz w:val="20"/>
                <w:szCs w:val="20"/>
              </w:rPr>
              <w:t xml:space="preserve">Responsable</w:t>
            </w:r>
          </w:p>
        </w:tc>
        <w:tc>
          <w:tcPr>
            <w:tcW w:type="dxa" w:w="4200"/>
            <w:shd w:fill="1F3864" w:color="auto" w:val="clear"/>
            <w:tcMar>
              <w:top w:type="dxa" w:w="60"/>
              <w:left w:type="dxa" w:w="100"/>
              <w:bottom w:type="dxa" w:w="60"/>
              <w:right w:type="dxa" w:w="100"/>
            </w:tcMar>
          </w:tcPr>
          <w:p>
            <w:r>
              <w:rPr>
                <w:b/>
                <w:bCs/>
                <w:color w:val="FFFFFF"/>
                <w:sz w:val="20"/>
                <w:szCs w:val="20"/>
              </w:rPr>
              <w:t xml:space="preserve">Précision</w:t>
            </w:r>
          </w:p>
        </w:tc>
      </w:tr>
      <w:tr>
        <w:tc>
          <w:tcPr>
            <w:tcW w:type="dxa" w:w="3100"/>
            <w:tcMar>
              <w:top w:type="dxa" w:w="50"/>
              <w:left w:type="dxa" w:w="100"/>
              <w:bottom w:type="dxa" w:w="50"/>
              <w:right w:type="dxa" w:w="100"/>
            </w:tcMar>
          </w:tcPr>
          <w:p>
            <w:r>
              <w:rPr>
                <w:sz w:val="20"/>
                <w:szCs w:val="20"/>
              </w:rPr>
              <w:t xml:space="preserve">E-mails de confirmation et de rappel</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
            </w:r>
          </w:p>
        </w:tc>
      </w:tr>
      <w:tr>
        <w:tc>
          <w:tcPr>
            <w:tcW w:type="dxa" w:w="3100"/>
            <w:tcMar>
              <w:top w:type="dxa" w:w="50"/>
              <w:left w:type="dxa" w:w="100"/>
              <w:bottom w:type="dxa" w:w="50"/>
              <w:right w:type="dxa" w:w="100"/>
            </w:tcMar>
          </w:tcPr>
          <w:p>
            <w:r>
              <w:rPr>
                <w:sz w:val="20"/>
                <w:szCs w:val="20"/>
              </w:rPr>
              <w:t xml:space="preserve">CMS, contenus éditoriaux, médias, SEO</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
            </w:r>
          </w:p>
        </w:tc>
      </w:tr>
      <w:tr>
        <w:tc>
          <w:tcPr>
            <w:tcW w:type="dxa" w:w="3100"/>
            <w:tcMar>
              <w:top w:type="dxa" w:w="50"/>
              <w:left w:type="dxa" w:w="100"/>
              <w:bottom w:type="dxa" w:w="50"/>
              <w:right w:type="dxa" w:w="100"/>
            </w:tcMar>
          </w:tcPr>
          <w:p>
            <w:r>
              <w:rPr>
                <w:sz w:val="20"/>
                <w:szCs w:val="20"/>
              </w:rPr>
              <w:t xml:space="preserve">Interface d’accès aux données (ports)</w:t>
            </w:r>
          </w:p>
        </w:tc>
        <w:tc>
          <w:tcPr>
            <w:tcW w:type="dxa" w:w="1700"/>
            <w:tcMar>
              <w:top w:type="dxa" w:w="50"/>
              <w:left w:type="dxa" w:w="100"/>
              <w:bottom w:type="dxa" w:w="50"/>
              <w:right w:type="dxa" w:w="100"/>
            </w:tcMar>
          </w:tcPr>
          <w:p>
            <w:r>
              <w:rPr>
                <w:b/>
                <w:bCs/>
                <w:color w:val="1A6B4A"/>
                <w:sz w:val="20"/>
                <w:szCs w:val="20"/>
              </w:rPr>
              <w:t xml:space="preserve">Site</w:t>
            </w:r>
          </w:p>
        </w:tc>
        <w:tc>
          <w:tcPr>
            <w:tcW w:type="dxa" w:w="4200"/>
            <w:tcMar>
              <w:top w:type="dxa" w:w="50"/>
              <w:left w:type="dxa" w:w="100"/>
              <w:bottom w:type="dxa" w:w="50"/>
              <w:right w:type="dxa" w:w="100"/>
            </w:tcMar>
          </w:tcPr>
          <w:p>
            <w:r>
              <w:rPr>
                <w:sz w:val="20"/>
                <w:szCs w:val="20"/>
              </w:rPr>
              <w:t xml:space="preserve">Adaptateur caisse à l’intégration future</w:t>
            </w:r>
          </w:p>
        </w:tc>
      </w:tr>
    </w:tbl>
    <w:p>
      <w:pPr>
        <w:spacing w:after="100"/>
      </w:pPr>
    </w:p>
    <w:p>
      <w:pPr>
        <w:spacing w:after="120" w:line="276"/>
      </w:pPr>
      <w:r>
        <w:rPr>
          <w:b/>
          <w:bCs/>
        </w:rPr>
        <w:t xml:space="preserve">Points d’intégration future (à cadrer le jour J) : </w:t>
      </w:r>
      <w:r>
        <w:t xml:space="preserve">correspondance refCaisse, reprise éventuelle du catalogue et des prix par la caisse, synchronisation des commandes, cible d’ownership.</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1F386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pPr>
    <w:rPr>
      <w:rFonts w:ascii="Calibri" w:cs="Calibri" w:eastAsia="Calibri" w:hAnsi="Calibri"/>
      <w:b/>
      <w:bCs/>
      <w:color w:val="1F3864"/>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2026-08-10T08:24:57.234Z</dcterms:created>
  <dcterms:modified xsi:type="dcterms:W3CDTF">2026-08-10T08:24:57.248Z</dcterms:modified>
</cp:coreProperties>
</file>

<file path=docProps/custom.xml><?xml version="1.0" encoding="utf-8"?>
<Properties xmlns="http://schemas.openxmlformats.org/officeDocument/2006/custom-properties" xmlns:vt="http://schemas.openxmlformats.org/officeDocument/2006/docPropsVTypes"/>
</file>